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A17A4D" w14:textId="77777777" w:rsidR="008449C7" w:rsidRDefault="008449C7" w:rsidP="000B5092">
      <w:pPr>
        <w:pStyle w:val="Title"/>
        <w:jc w:val="center"/>
        <w:rPr>
          <w:sz w:val="40"/>
          <w:szCs w:val="40"/>
        </w:rPr>
      </w:pPr>
      <w:bookmarkStart w:id="0" w:name="_GoBack"/>
      <w:bookmarkEnd w:id="0"/>
    </w:p>
    <w:p w14:paraId="2B4E403A" w14:textId="77777777" w:rsidR="0031377F" w:rsidRPr="00016CB7" w:rsidRDefault="0031377F" w:rsidP="00886F57">
      <w:pPr>
        <w:pStyle w:val="Title"/>
        <w:jc w:val="left"/>
      </w:pPr>
    </w:p>
    <w:p w14:paraId="7402BB3F" w14:textId="77777777" w:rsidR="0031377F" w:rsidRPr="00016CB7" w:rsidRDefault="007D32B6" w:rsidP="007D32B6">
      <w:pPr>
        <w:pStyle w:val="Subtitle"/>
        <w:tabs>
          <w:tab w:val="left" w:pos="4943"/>
        </w:tabs>
        <w:jc w:val="left"/>
      </w:pPr>
      <w:r>
        <w:tab/>
      </w:r>
    </w:p>
    <w:p w14:paraId="27D65959" w14:textId="77777777" w:rsidR="0031377F" w:rsidRPr="00016CB7" w:rsidRDefault="0031377F">
      <w:pPr>
        <w:pStyle w:val="Subtitle"/>
      </w:pPr>
    </w:p>
    <w:p w14:paraId="652E6FBD" w14:textId="77777777" w:rsidR="0031377F" w:rsidRDefault="0031377F">
      <w:pPr>
        <w:pStyle w:val="Subtitle"/>
      </w:pPr>
    </w:p>
    <w:p w14:paraId="41819FA5" w14:textId="77777777" w:rsidR="000B5092" w:rsidRDefault="000B5092">
      <w:pPr>
        <w:pStyle w:val="Subtitle"/>
      </w:pPr>
    </w:p>
    <w:p w14:paraId="24D64BB1" w14:textId="77777777" w:rsidR="000B5092" w:rsidRDefault="000B5092">
      <w:pPr>
        <w:pStyle w:val="Subtitle"/>
      </w:pPr>
    </w:p>
    <w:p w14:paraId="4C229B78" w14:textId="77777777" w:rsidR="000B5092" w:rsidRDefault="000B5092">
      <w:pPr>
        <w:pStyle w:val="Subtitle"/>
      </w:pPr>
    </w:p>
    <w:p w14:paraId="66B32016" w14:textId="77777777" w:rsidR="000B5092" w:rsidRDefault="000B5092">
      <w:pPr>
        <w:pStyle w:val="Subtitle"/>
      </w:pPr>
    </w:p>
    <w:p w14:paraId="00E2CF80" w14:textId="77777777" w:rsidR="000B5092" w:rsidRDefault="000B5092">
      <w:pPr>
        <w:pStyle w:val="Subtitle"/>
      </w:pPr>
    </w:p>
    <w:p w14:paraId="183F1D5F" w14:textId="77777777" w:rsidR="000B5092" w:rsidRDefault="000B5092">
      <w:pPr>
        <w:pStyle w:val="Subtitle"/>
      </w:pPr>
    </w:p>
    <w:p w14:paraId="3BEEAE58" w14:textId="5B7AC8A9" w:rsidR="006350A9" w:rsidRDefault="0079372B" w:rsidP="001B3CE2">
      <w:pPr>
        <w:pStyle w:val="Title"/>
        <w:jc w:val="center"/>
      </w:pPr>
      <w:r>
        <w:t xml:space="preserve">VGI Use Case </w:t>
      </w:r>
    </w:p>
    <w:p w14:paraId="612A9444" w14:textId="078E2F8E" w:rsidR="001B3CE2" w:rsidRDefault="001B3CE2" w:rsidP="001B3CE2">
      <w:pPr>
        <w:pStyle w:val="Title"/>
        <w:jc w:val="center"/>
      </w:pPr>
      <w:r>
        <w:t>Over Generation Support</w:t>
      </w:r>
    </w:p>
    <w:p w14:paraId="392CF66B" w14:textId="77777777" w:rsidR="000B5092" w:rsidRDefault="000B5092">
      <w:pPr>
        <w:pStyle w:val="Subtitle"/>
      </w:pPr>
    </w:p>
    <w:p w14:paraId="0CF64762" w14:textId="77777777" w:rsidR="0031377F" w:rsidRPr="00016CB7" w:rsidRDefault="0031377F" w:rsidP="00537610">
      <w:pPr>
        <w:pStyle w:val="Subtitle"/>
        <w:jc w:val="left"/>
      </w:pPr>
    </w:p>
    <w:p w14:paraId="4AA52C4B" w14:textId="77777777" w:rsidR="0031377F" w:rsidRPr="00016CB7" w:rsidRDefault="00016CB7" w:rsidP="0040558A">
      <w:pPr>
        <w:pStyle w:val="HeadingA"/>
        <w:numPr>
          <w:ilvl w:val="0"/>
          <w:numId w:val="0"/>
        </w:numPr>
        <w:ind w:left="648" w:hanging="648"/>
      </w:pPr>
      <w:bookmarkStart w:id="1" w:name="TContents"/>
      <w:r w:rsidRPr="00016CB7">
        <w:lastRenderedPageBreak/>
        <w:t>Contents</w:t>
      </w:r>
      <w:bookmarkEnd w:id="1"/>
    </w:p>
    <w:p w14:paraId="7575C0D8" w14:textId="77777777" w:rsidR="00FF4291" w:rsidRDefault="0031377F">
      <w:pPr>
        <w:pStyle w:val="TOC1"/>
        <w:rPr>
          <w:rFonts w:asciiTheme="minorHAnsi" w:eastAsiaTheme="minorEastAsia" w:hAnsiTheme="minorHAnsi" w:cstheme="minorBidi"/>
          <w:noProof/>
          <w:sz w:val="22"/>
          <w:szCs w:val="22"/>
        </w:rPr>
      </w:pPr>
      <w:r w:rsidRPr="00016CB7">
        <w:fldChar w:fldCharType="begin"/>
      </w:r>
      <w:r w:rsidRPr="00016CB7">
        <w:instrText xml:space="preserve"> TOC \o "1-3" </w:instrText>
      </w:r>
      <w:r w:rsidRPr="00016CB7">
        <w:fldChar w:fldCharType="separate"/>
      </w:r>
      <w:r w:rsidR="00FF4291">
        <w:rPr>
          <w:noProof/>
        </w:rPr>
        <w:t>Use Case Description</w:t>
      </w:r>
      <w:r w:rsidR="00FF4291">
        <w:rPr>
          <w:noProof/>
        </w:rPr>
        <w:tab/>
      </w:r>
      <w:r w:rsidR="00FF4291">
        <w:rPr>
          <w:noProof/>
        </w:rPr>
        <w:fldChar w:fldCharType="begin"/>
      </w:r>
      <w:r w:rsidR="00FF4291">
        <w:rPr>
          <w:noProof/>
        </w:rPr>
        <w:instrText xml:space="preserve"> PAGEREF _Toc484168014 \h </w:instrText>
      </w:r>
      <w:r w:rsidR="00FF4291">
        <w:rPr>
          <w:noProof/>
        </w:rPr>
      </w:r>
      <w:r w:rsidR="00FF4291">
        <w:rPr>
          <w:noProof/>
        </w:rPr>
        <w:fldChar w:fldCharType="separate"/>
      </w:r>
      <w:r w:rsidR="00FF4291">
        <w:rPr>
          <w:noProof/>
        </w:rPr>
        <w:t>3</w:t>
      </w:r>
      <w:r w:rsidR="00FF4291">
        <w:rPr>
          <w:noProof/>
        </w:rPr>
        <w:fldChar w:fldCharType="end"/>
      </w:r>
    </w:p>
    <w:p w14:paraId="41741947" w14:textId="77777777" w:rsidR="00FF4291" w:rsidRDefault="00FF4291">
      <w:pPr>
        <w:pStyle w:val="TOC2"/>
        <w:rPr>
          <w:rFonts w:asciiTheme="minorHAnsi" w:eastAsiaTheme="minorEastAsia" w:hAnsiTheme="minorHAnsi" w:cstheme="minorBidi"/>
          <w:noProof/>
          <w:sz w:val="22"/>
          <w:szCs w:val="22"/>
        </w:rPr>
      </w:pPr>
      <w:r>
        <w:rPr>
          <w:noProof/>
        </w:rPr>
        <w:t>Use Case Title</w:t>
      </w:r>
      <w:r>
        <w:rPr>
          <w:noProof/>
        </w:rPr>
        <w:tab/>
      </w:r>
      <w:r>
        <w:rPr>
          <w:noProof/>
        </w:rPr>
        <w:fldChar w:fldCharType="begin"/>
      </w:r>
      <w:r>
        <w:rPr>
          <w:noProof/>
        </w:rPr>
        <w:instrText xml:space="preserve"> PAGEREF _Toc484168015 \h </w:instrText>
      </w:r>
      <w:r>
        <w:rPr>
          <w:noProof/>
        </w:rPr>
      </w:r>
      <w:r>
        <w:rPr>
          <w:noProof/>
        </w:rPr>
        <w:fldChar w:fldCharType="separate"/>
      </w:r>
      <w:r>
        <w:rPr>
          <w:noProof/>
        </w:rPr>
        <w:t>3</w:t>
      </w:r>
      <w:r>
        <w:rPr>
          <w:noProof/>
        </w:rPr>
        <w:fldChar w:fldCharType="end"/>
      </w:r>
    </w:p>
    <w:p w14:paraId="1DFA878C" w14:textId="77777777" w:rsidR="00FF4291" w:rsidRDefault="00FF4291">
      <w:pPr>
        <w:pStyle w:val="TOC2"/>
        <w:rPr>
          <w:rFonts w:asciiTheme="minorHAnsi" w:eastAsiaTheme="minorEastAsia" w:hAnsiTheme="minorHAnsi" w:cstheme="minorBidi"/>
          <w:noProof/>
          <w:sz w:val="22"/>
          <w:szCs w:val="22"/>
        </w:rPr>
      </w:pPr>
      <w:r>
        <w:rPr>
          <w:noProof/>
        </w:rPr>
        <w:t>Use Case Summary</w:t>
      </w:r>
      <w:r>
        <w:rPr>
          <w:noProof/>
        </w:rPr>
        <w:tab/>
      </w:r>
      <w:r>
        <w:rPr>
          <w:noProof/>
        </w:rPr>
        <w:fldChar w:fldCharType="begin"/>
      </w:r>
      <w:r>
        <w:rPr>
          <w:noProof/>
        </w:rPr>
        <w:instrText xml:space="preserve"> PAGEREF _Toc484168016 \h </w:instrText>
      </w:r>
      <w:r>
        <w:rPr>
          <w:noProof/>
        </w:rPr>
      </w:r>
      <w:r>
        <w:rPr>
          <w:noProof/>
        </w:rPr>
        <w:fldChar w:fldCharType="separate"/>
      </w:r>
      <w:r>
        <w:rPr>
          <w:noProof/>
        </w:rPr>
        <w:t>3</w:t>
      </w:r>
      <w:r>
        <w:rPr>
          <w:noProof/>
        </w:rPr>
        <w:fldChar w:fldCharType="end"/>
      </w:r>
    </w:p>
    <w:p w14:paraId="2F2EB5AA" w14:textId="77777777" w:rsidR="00FF4291" w:rsidRDefault="00FF4291">
      <w:pPr>
        <w:pStyle w:val="TOC2"/>
        <w:rPr>
          <w:rFonts w:asciiTheme="minorHAnsi" w:eastAsiaTheme="minorEastAsia" w:hAnsiTheme="minorHAnsi" w:cstheme="minorBidi"/>
          <w:noProof/>
          <w:sz w:val="22"/>
          <w:szCs w:val="22"/>
        </w:rPr>
      </w:pPr>
      <w:r>
        <w:rPr>
          <w:noProof/>
        </w:rPr>
        <w:t>Business Rules and Assumptions</w:t>
      </w:r>
      <w:r>
        <w:rPr>
          <w:noProof/>
        </w:rPr>
        <w:tab/>
      </w:r>
      <w:r>
        <w:rPr>
          <w:noProof/>
        </w:rPr>
        <w:fldChar w:fldCharType="begin"/>
      </w:r>
      <w:r>
        <w:rPr>
          <w:noProof/>
        </w:rPr>
        <w:instrText xml:space="preserve"> PAGEREF _Toc484168017 \h </w:instrText>
      </w:r>
      <w:r>
        <w:rPr>
          <w:noProof/>
        </w:rPr>
      </w:r>
      <w:r>
        <w:rPr>
          <w:noProof/>
        </w:rPr>
        <w:fldChar w:fldCharType="separate"/>
      </w:r>
      <w:r>
        <w:rPr>
          <w:noProof/>
        </w:rPr>
        <w:t>3</w:t>
      </w:r>
      <w:r>
        <w:rPr>
          <w:noProof/>
        </w:rPr>
        <w:fldChar w:fldCharType="end"/>
      </w:r>
    </w:p>
    <w:p w14:paraId="2DFC1041" w14:textId="77777777" w:rsidR="00FF4291" w:rsidRDefault="00FF4291">
      <w:pPr>
        <w:pStyle w:val="TOC1"/>
        <w:rPr>
          <w:rFonts w:asciiTheme="minorHAnsi" w:eastAsiaTheme="minorEastAsia" w:hAnsiTheme="minorHAnsi" w:cstheme="minorBidi"/>
          <w:noProof/>
          <w:sz w:val="22"/>
          <w:szCs w:val="22"/>
        </w:rPr>
      </w:pPr>
      <w:r>
        <w:rPr>
          <w:noProof/>
        </w:rPr>
        <w:t>Actors</w:t>
      </w:r>
      <w:r>
        <w:rPr>
          <w:noProof/>
        </w:rPr>
        <w:tab/>
      </w:r>
      <w:r>
        <w:rPr>
          <w:noProof/>
        </w:rPr>
        <w:fldChar w:fldCharType="begin"/>
      </w:r>
      <w:r>
        <w:rPr>
          <w:noProof/>
        </w:rPr>
        <w:instrText xml:space="preserve"> PAGEREF _Toc484168018 \h </w:instrText>
      </w:r>
      <w:r>
        <w:rPr>
          <w:noProof/>
        </w:rPr>
      </w:r>
      <w:r>
        <w:rPr>
          <w:noProof/>
        </w:rPr>
        <w:fldChar w:fldCharType="separate"/>
      </w:r>
      <w:r>
        <w:rPr>
          <w:noProof/>
        </w:rPr>
        <w:t>5</w:t>
      </w:r>
      <w:r>
        <w:rPr>
          <w:noProof/>
        </w:rPr>
        <w:fldChar w:fldCharType="end"/>
      </w:r>
    </w:p>
    <w:p w14:paraId="3A084AC1" w14:textId="77777777" w:rsidR="00FF4291" w:rsidRDefault="00FF4291">
      <w:pPr>
        <w:pStyle w:val="TOC1"/>
        <w:rPr>
          <w:rFonts w:asciiTheme="minorHAnsi" w:eastAsiaTheme="minorEastAsia" w:hAnsiTheme="minorHAnsi" w:cstheme="minorBidi"/>
          <w:noProof/>
          <w:sz w:val="22"/>
          <w:szCs w:val="22"/>
        </w:rPr>
      </w:pPr>
      <w:r>
        <w:rPr>
          <w:noProof/>
        </w:rPr>
        <w:t>Scenario 1: Dynamic Pricing</w:t>
      </w:r>
      <w:r>
        <w:rPr>
          <w:noProof/>
        </w:rPr>
        <w:tab/>
      </w:r>
      <w:r>
        <w:rPr>
          <w:noProof/>
        </w:rPr>
        <w:fldChar w:fldCharType="begin"/>
      </w:r>
      <w:r>
        <w:rPr>
          <w:noProof/>
        </w:rPr>
        <w:instrText xml:space="preserve"> PAGEREF _Toc484168019 \h </w:instrText>
      </w:r>
      <w:r>
        <w:rPr>
          <w:noProof/>
        </w:rPr>
      </w:r>
      <w:r>
        <w:rPr>
          <w:noProof/>
        </w:rPr>
        <w:fldChar w:fldCharType="separate"/>
      </w:r>
      <w:r>
        <w:rPr>
          <w:noProof/>
        </w:rPr>
        <w:t>6</w:t>
      </w:r>
      <w:r>
        <w:rPr>
          <w:noProof/>
        </w:rPr>
        <w:fldChar w:fldCharType="end"/>
      </w:r>
    </w:p>
    <w:p w14:paraId="6B28B058" w14:textId="77777777" w:rsidR="00FF4291" w:rsidRDefault="00FF4291">
      <w:pPr>
        <w:pStyle w:val="TOC1"/>
        <w:rPr>
          <w:rFonts w:asciiTheme="minorHAnsi" w:eastAsiaTheme="minorEastAsia" w:hAnsiTheme="minorHAnsi" w:cstheme="minorBidi"/>
          <w:noProof/>
          <w:sz w:val="22"/>
          <w:szCs w:val="22"/>
        </w:rPr>
      </w:pPr>
      <w:r>
        <w:rPr>
          <w:noProof/>
        </w:rPr>
        <w:t>Scenario 2: Demand Response</w:t>
      </w:r>
      <w:r>
        <w:rPr>
          <w:noProof/>
        </w:rPr>
        <w:tab/>
      </w:r>
      <w:r>
        <w:rPr>
          <w:noProof/>
        </w:rPr>
        <w:fldChar w:fldCharType="begin"/>
      </w:r>
      <w:r>
        <w:rPr>
          <w:noProof/>
        </w:rPr>
        <w:instrText xml:space="preserve"> PAGEREF _Toc484168020 \h </w:instrText>
      </w:r>
      <w:r>
        <w:rPr>
          <w:noProof/>
        </w:rPr>
      </w:r>
      <w:r>
        <w:rPr>
          <w:noProof/>
        </w:rPr>
        <w:fldChar w:fldCharType="separate"/>
      </w:r>
      <w:r>
        <w:rPr>
          <w:noProof/>
        </w:rPr>
        <w:t>8</w:t>
      </w:r>
      <w:r>
        <w:rPr>
          <w:noProof/>
        </w:rPr>
        <w:fldChar w:fldCharType="end"/>
      </w:r>
    </w:p>
    <w:p w14:paraId="1301FED5" w14:textId="77777777" w:rsidR="00FF4291" w:rsidRDefault="00FF4291">
      <w:pPr>
        <w:pStyle w:val="TOC1"/>
        <w:rPr>
          <w:rFonts w:asciiTheme="minorHAnsi" w:eastAsiaTheme="minorEastAsia" w:hAnsiTheme="minorHAnsi" w:cstheme="minorBidi"/>
          <w:noProof/>
          <w:sz w:val="22"/>
          <w:szCs w:val="22"/>
        </w:rPr>
      </w:pPr>
      <w:r>
        <w:rPr>
          <w:noProof/>
        </w:rPr>
        <w:t>Appendix A- Possible Program Types</w:t>
      </w:r>
      <w:r>
        <w:rPr>
          <w:noProof/>
        </w:rPr>
        <w:tab/>
      </w:r>
      <w:r>
        <w:rPr>
          <w:noProof/>
        </w:rPr>
        <w:fldChar w:fldCharType="begin"/>
      </w:r>
      <w:r>
        <w:rPr>
          <w:noProof/>
        </w:rPr>
        <w:instrText xml:space="preserve"> PAGEREF _Toc484168021 \h </w:instrText>
      </w:r>
      <w:r>
        <w:rPr>
          <w:noProof/>
        </w:rPr>
      </w:r>
      <w:r>
        <w:rPr>
          <w:noProof/>
        </w:rPr>
        <w:fldChar w:fldCharType="separate"/>
      </w:r>
      <w:r>
        <w:rPr>
          <w:noProof/>
        </w:rPr>
        <w:t>10</w:t>
      </w:r>
      <w:r>
        <w:rPr>
          <w:noProof/>
        </w:rPr>
        <w:fldChar w:fldCharType="end"/>
      </w:r>
    </w:p>
    <w:p w14:paraId="7AF64EE2" w14:textId="77777777" w:rsidR="0031377F" w:rsidRDefault="0031377F" w:rsidP="0029735B">
      <w:pPr>
        <w:pStyle w:val="Heading1"/>
        <w:numPr>
          <w:ilvl w:val="0"/>
          <w:numId w:val="0"/>
        </w:numPr>
      </w:pPr>
      <w:r w:rsidRPr="00016CB7">
        <w:lastRenderedPageBreak/>
        <w:fldChar w:fldCharType="end"/>
      </w:r>
      <w:bookmarkStart w:id="2" w:name="_Toc484168014"/>
      <w:r w:rsidR="00F12059">
        <w:t xml:space="preserve">Use Case </w:t>
      </w:r>
      <w:r w:rsidR="00EC54E9">
        <w:t>Description</w:t>
      </w:r>
      <w:bookmarkEnd w:id="2"/>
    </w:p>
    <w:p w14:paraId="563D33EE" w14:textId="77777777" w:rsidR="00696A22" w:rsidRDefault="00EC54E9" w:rsidP="00980C69">
      <w:pPr>
        <w:pStyle w:val="Heading2"/>
      </w:pPr>
      <w:bookmarkStart w:id="3" w:name="_Toc484168015"/>
      <w:r>
        <w:t>Use Case Title</w:t>
      </w:r>
      <w:bookmarkEnd w:id="3"/>
    </w:p>
    <w:p w14:paraId="04FE06CF" w14:textId="621F198E" w:rsidR="00891CAC" w:rsidRDefault="001B3CE2" w:rsidP="00891CAC">
      <w:r>
        <w:t>Over Generation Support</w:t>
      </w:r>
    </w:p>
    <w:p w14:paraId="2057E268" w14:textId="7410F9DF" w:rsidR="00696A22" w:rsidRDefault="00696A22" w:rsidP="00980C69">
      <w:pPr>
        <w:pStyle w:val="Heading2"/>
      </w:pPr>
      <w:bookmarkStart w:id="4" w:name="_Toc484168016"/>
      <w:r>
        <w:t>Use Case Summary</w:t>
      </w:r>
      <w:bookmarkEnd w:id="4"/>
    </w:p>
    <w:p w14:paraId="19A4C51B" w14:textId="315140B7" w:rsidR="00ED0E27" w:rsidRDefault="0079372B" w:rsidP="00A1039F">
      <w:r>
        <w:t>As renewable and PV generation continues to be added to the transmission and distribution grid, times when s</w:t>
      </w:r>
      <w:r w:rsidR="00A1039F" w:rsidRPr="00A1039F">
        <w:t xml:space="preserve">upply exceeds </w:t>
      </w:r>
      <w:r w:rsidR="003D6893">
        <w:t xml:space="preserve">real time </w:t>
      </w:r>
      <w:r w:rsidR="00A1039F" w:rsidRPr="00A1039F">
        <w:t xml:space="preserve">demand </w:t>
      </w:r>
      <w:r>
        <w:t>are beginning to be experienced</w:t>
      </w:r>
      <w:r w:rsidR="00A1039F" w:rsidRPr="00A1039F">
        <w:t xml:space="preserve">. </w:t>
      </w:r>
      <w:r w:rsidR="003D6893">
        <w:t xml:space="preserve">This condition </w:t>
      </w:r>
      <w:r w:rsidR="00ED0E27">
        <w:t>may 1- cause</w:t>
      </w:r>
      <w:r w:rsidR="003D6893">
        <w:t xml:space="preserve"> wholesale prices to go very low or even negative meaning non-flexible generation resource</w:t>
      </w:r>
      <w:r w:rsidR="00980C69">
        <w:t>s</w:t>
      </w:r>
      <w:r w:rsidR="003D6893">
        <w:t xml:space="preserve"> may need to pay utilities to take energy</w:t>
      </w:r>
      <w:r w:rsidR="00ED0E27">
        <w:t xml:space="preserve"> or 2- cause the </w:t>
      </w:r>
      <w:r w:rsidR="003D6893">
        <w:t xml:space="preserve">California Independent System Operator (CAISO) to curtail </w:t>
      </w:r>
      <w:r w:rsidR="00ED0E27">
        <w:t>photo voltaic (</w:t>
      </w:r>
      <w:r w:rsidR="003D6893">
        <w:t>PV</w:t>
      </w:r>
      <w:r w:rsidR="00ED0E27">
        <w:t>)</w:t>
      </w:r>
      <w:r w:rsidR="003D6893">
        <w:t xml:space="preserve"> generation. </w:t>
      </w:r>
    </w:p>
    <w:p w14:paraId="162DBDE6" w14:textId="7427FEEE" w:rsidR="00ED0E27" w:rsidRPr="00A1039F" w:rsidRDefault="003D6893" w:rsidP="00A1039F">
      <w:r>
        <w:t>This use case addresses an alternative</w:t>
      </w:r>
      <w:r w:rsidR="00ED0E27">
        <w:t xml:space="preserve"> scenario whereby PEV loads are shifted</w:t>
      </w:r>
      <w:r>
        <w:t xml:space="preserve"> </w:t>
      </w:r>
      <w:r w:rsidR="00ED0E27">
        <w:t>to coincide with peak PV generation. As this condition generally occurs during the mid-day, this use case focuses on workplace</w:t>
      </w:r>
      <w:r w:rsidR="00582E1E">
        <w:t>/fleet</w:t>
      </w:r>
      <w:r w:rsidR="00ED0E27">
        <w:t xml:space="preserve"> charging scenarios that include using either demand response or pricing signals.</w:t>
      </w:r>
      <w:r w:rsidR="00B7646D">
        <w:t xml:space="preserve"> The use of these signals require PEVs to be connected </w:t>
      </w:r>
      <w:r w:rsidR="00980C69">
        <w:t xml:space="preserve">during the over generation period </w:t>
      </w:r>
      <w:r w:rsidR="00B7646D">
        <w:t>and have available battery capacity</w:t>
      </w:r>
      <w:r w:rsidR="00980C69">
        <w:t xml:space="preserve">. </w:t>
      </w:r>
      <w:r w:rsidR="00B7646D">
        <w:t xml:space="preserve">Thus technologies must be in place to allow this to occur and over generation scenarios must be forecasted and event/pricing signals disseminated in advance to allow PEVs to defer charging until </w:t>
      </w:r>
      <w:r w:rsidR="00794D5D">
        <w:t>excess supply periods are experienced</w:t>
      </w:r>
      <w:r w:rsidR="00B7646D">
        <w:t>.</w:t>
      </w:r>
    </w:p>
    <w:p w14:paraId="36922DC2" w14:textId="77777777" w:rsidR="00CD6FC5" w:rsidRDefault="00CD6FC5" w:rsidP="00980C69">
      <w:pPr>
        <w:pStyle w:val="Heading2"/>
      </w:pPr>
      <w:bookmarkStart w:id="5" w:name="_Ref205863168"/>
      <w:bookmarkStart w:id="6" w:name="_Toc484168017"/>
      <w:r>
        <w:t xml:space="preserve">Business Rules </w:t>
      </w:r>
      <w:r w:rsidR="00632B4C">
        <w:t>and Assumptions</w:t>
      </w:r>
      <w:bookmarkEnd w:id="5"/>
      <w:bookmarkEnd w:id="6"/>
    </w:p>
    <w:p w14:paraId="26CE3D6D" w14:textId="0378A16F" w:rsidR="00256B42" w:rsidRPr="00B7646D" w:rsidRDefault="001A1F48" w:rsidP="00256B42">
      <w:pPr>
        <w:pStyle w:val="ListParagraph"/>
        <w:numPr>
          <w:ilvl w:val="0"/>
          <w:numId w:val="43"/>
        </w:numPr>
        <w:rPr>
          <w:szCs w:val="24"/>
        </w:rPr>
      </w:pPr>
      <w:r w:rsidRPr="00B7646D">
        <w:rPr>
          <w:szCs w:val="24"/>
        </w:rPr>
        <w:t>E</w:t>
      </w:r>
      <w:r w:rsidR="00FF49B4">
        <w:rPr>
          <w:szCs w:val="24"/>
        </w:rPr>
        <w:t>V</w:t>
      </w:r>
      <w:r w:rsidRPr="00B7646D">
        <w:rPr>
          <w:szCs w:val="24"/>
        </w:rPr>
        <w:t xml:space="preserve"> grid services will be provided through </w:t>
      </w:r>
      <w:r w:rsidR="005742BA" w:rsidRPr="00B7646D">
        <w:rPr>
          <w:szCs w:val="24"/>
        </w:rPr>
        <w:t>system operators/</w:t>
      </w:r>
      <w:r w:rsidRPr="00B7646D">
        <w:rPr>
          <w:szCs w:val="24"/>
        </w:rPr>
        <w:t>aggregators</w:t>
      </w:r>
      <w:r w:rsidR="003E73A3" w:rsidRPr="00B7646D">
        <w:rPr>
          <w:szCs w:val="24"/>
        </w:rPr>
        <w:t xml:space="preserve"> (EVSPs, Automakers, local </w:t>
      </w:r>
      <w:r w:rsidR="00FF49B4">
        <w:rPr>
          <w:szCs w:val="24"/>
        </w:rPr>
        <w:t>BMS/</w:t>
      </w:r>
      <w:r w:rsidR="003E73A3" w:rsidRPr="00B7646D">
        <w:rPr>
          <w:szCs w:val="24"/>
        </w:rPr>
        <w:t>EV management systems)</w:t>
      </w:r>
      <w:r w:rsidR="00465214" w:rsidRPr="00B7646D">
        <w:rPr>
          <w:szCs w:val="24"/>
        </w:rPr>
        <w:t xml:space="preserve"> </w:t>
      </w:r>
    </w:p>
    <w:p w14:paraId="72CD1758" w14:textId="3C914E83" w:rsidR="007C41BD" w:rsidRPr="00B7646D" w:rsidRDefault="00745B28" w:rsidP="002A49B2">
      <w:pPr>
        <w:pStyle w:val="ListParagraph"/>
        <w:numPr>
          <w:ilvl w:val="0"/>
          <w:numId w:val="43"/>
        </w:numPr>
        <w:rPr>
          <w:szCs w:val="24"/>
        </w:rPr>
      </w:pPr>
      <w:r w:rsidRPr="00B7646D">
        <w:rPr>
          <w:szCs w:val="24"/>
        </w:rPr>
        <w:t xml:space="preserve">EV </w:t>
      </w:r>
      <w:r w:rsidR="00640E5C" w:rsidRPr="00B7646D">
        <w:rPr>
          <w:szCs w:val="24"/>
        </w:rPr>
        <w:t xml:space="preserve">Tariffs </w:t>
      </w:r>
      <w:r w:rsidRPr="00B7646D">
        <w:rPr>
          <w:szCs w:val="24"/>
        </w:rPr>
        <w:t xml:space="preserve">will optimized to </w:t>
      </w:r>
      <w:r w:rsidR="00324569" w:rsidRPr="00B7646D">
        <w:rPr>
          <w:szCs w:val="24"/>
        </w:rPr>
        <w:t>mitigate over generation conditions</w:t>
      </w:r>
    </w:p>
    <w:p w14:paraId="58598C33" w14:textId="18348473" w:rsidR="002A49B2" w:rsidRPr="00B7646D" w:rsidRDefault="002A49B2" w:rsidP="002333CC">
      <w:pPr>
        <w:pStyle w:val="ListParagraph"/>
        <w:numPr>
          <w:ilvl w:val="0"/>
          <w:numId w:val="43"/>
        </w:numPr>
        <w:rPr>
          <w:szCs w:val="24"/>
        </w:rPr>
      </w:pPr>
      <w:r w:rsidRPr="00B7646D">
        <w:rPr>
          <w:szCs w:val="24"/>
        </w:rPr>
        <w:t xml:space="preserve">Aggregator </w:t>
      </w:r>
      <w:r w:rsidR="00B7646D">
        <w:rPr>
          <w:szCs w:val="24"/>
        </w:rPr>
        <w:t>Demand Response</w:t>
      </w:r>
      <w:r w:rsidRPr="00B7646D">
        <w:rPr>
          <w:szCs w:val="24"/>
        </w:rPr>
        <w:t xml:space="preserve"> control programs will be based on predetermined contracts, bids, or will be pay for performance</w:t>
      </w:r>
    </w:p>
    <w:p w14:paraId="61F6B1FC" w14:textId="77777777" w:rsidR="00324569" w:rsidRPr="00B7646D" w:rsidRDefault="00324569" w:rsidP="00324569">
      <w:pPr>
        <w:pStyle w:val="ListParagraph"/>
        <w:numPr>
          <w:ilvl w:val="0"/>
          <w:numId w:val="43"/>
        </w:numPr>
        <w:jc w:val="both"/>
        <w:rPr>
          <w:szCs w:val="24"/>
        </w:rPr>
      </w:pPr>
      <w:r w:rsidRPr="00B7646D">
        <w:rPr>
          <w:szCs w:val="24"/>
        </w:rPr>
        <w:t xml:space="preserve">Monitoring, communications, and control of the residential PEV load will be facilitated through aggregators from the Utility or Distribution Service Operator (DSO) and ISO, or for California, a CAISO authorized Schedule Coordinator. </w:t>
      </w:r>
    </w:p>
    <w:p w14:paraId="5016FAF2" w14:textId="45D5D832" w:rsidR="00324569" w:rsidRPr="00B7646D" w:rsidRDefault="00FF49B4" w:rsidP="00324569">
      <w:pPr>
        <w:pStyle w:val="ListParagraph"/>
        <w:numPr>
          <w:ilvl w:val="0"/>
          <w:numId w:val="43"/>
        </w:numPr>
        <w:jc w:val="both"/>
        <w:rPr>
          <w:szCs w:val="24"/>
        </w:rPr>
      </w:pPr>
      <w:r>
        <w:rPr>
          <w:szCs w:val="24"/>
        </w:rPr>
        <w:t xml:space="preserve">Aggregator and/or </w:t>
      </w:r>
      <w:r w:rsidR="00B7646D" w:rsidRPr="00B7646D">
        <w:rPr>
          <w:szCs w:val="24"/>
        </w:rPr>
        <w:t>C</w:t>
      </w:r>
      <w:r w:rsidR="00324569" w:rsidRPr="00B7646D">
        <w:rPr>
          <w:szCs w:val="24"/>
        </w:rPr>
        <w:t xml:space="preserve">ustomer enrollment processes </w:t>
      </w:r>
      <w:r w:rsidR="00B7646D">
        <w:rPr>
          <w:szCs w:val="24"/>
        </w:rPr>
        <w:t xml:space="preserve">are completed </w:t>
      </w:r>
      <w:r w:rsidR="00324569" w:rsidRPr="00B7646D">
        <w:rPr>
          <w:szCs w:val="24"/>
        </w:rPr>
        <w:t xml:space="preserve">per the requirements of the cognizant utility and/or ISO. </w:t>
      </w:r>
    </w:p>
    <w:p w14:paraId="1CA5ED0F" w14:textId="77777777" w:rsidR="00324569" w:rsidRPr="00B7646D" w:rsidRDefault="00324569" w:rsidP="00324569">
      <w:pPr>
        <w:pStyle w:val="ListParagraph"/>
        <w:numPr>
          <w:ilvl w:val="0"/>
          <w:numId w:val="43"/>
        </w:numPr>
        <w:jc w:val="both"/>
        <w:rPr>
          <w:szCs w:val="24"/>
        </w:rPr>
      </w:pPr>
      <w:r w:rsidRPr="00B7646D">
        <w:rPr>
          <w:szCs w:val="24"/>
        </w:rPr>
        <w:t xml:space="preserve">Customer incentives for participating in the PEV load management programs will be either based on energy cost savings associated with shifting charging load to avoid periods of high Dynamic pricing, incentives or discounts provided by the utility for performance in response to DR Event signals, or compensation provided by the aggregator from revenues generated for participation in wholesale energy markets and utility capacity bidding programs. </w:t>
      </w:r>
    </w:p>
    <w:p w14:paraId="24841571" w14:textId="77777777" w:rsidR="00324569" w:rsidRPr="00B7646D" w:rsidRDefault="00324569" w:rsidP="00324569">
      <w:pPr>
        <w:pStyle w:val="ListParagraph"/>
        <w:numPr>
          <w:ilvl w:val="0"/>
          <w:numId w:val="43"/>
        </w:numPr>
        <w:jc w:val="both"/>
        <w:rPr>
          <w:szCs w:val="24"/>
        </w:rPr>
      </w:pPr>
      <w:r w:rsidRPr="00B7646D">
        <w:rPr>
          <w:szCs w:val="24"/>
        </w:rPr>
        <w:lastRenderedPageBreak/>
        <w:t xml:space="preserve">Measurement and verification will be based on the individual program requirements delineated by the utility or ISO, and is the responsibility of the aggregator to ensure compliance to the requirements. </w:t>
      </w:r>
    </w:p>
    <w:p w14:paraId="3A116B12" w14:textId="34160448" w:rsidR="00324569" w:rsidRPr="00B7646D" w:rsidRDefault="00324569" w:rsidP="00324569">
      <w:pPr>
        <w:pStyle w:val="ListParagraph"/>
        <w:numPr>
          <w:ilvl w:val="0"/>
          <w:numId w:val="43"/>
        </w:numPr>
        <w:jc w:val="both"/>
        <w:rPr>
          <w:szCs w:val="24"/>
        </w:rPr>
      </w:pPr>
      <w:r w:rsidRPr="00B7646D">
        <w:rPr>
          <w:szCs w:val="24"/>
        </w:rPr>
        <w:t>PEV customers or site hosts, depending on program specifics, can manage participation in events (e.g., Opt-out or Opt-in)</w:t>
      </w:r>
    </w:p>
    <w:p w14:paraId="7B588051" w14:textId="746C195A" w:rsidR="00235986" w:rsidRDefault="00324569" w:rsidP="00235986">
      <w:pPr>
        <w:pStyle w:val="ListParagraph"/>
        <w:numPr>
          <w:ilvl w:val="0"/>
          <w:numId w:val="43"/>
        </w:numPr>
        <w:rPr>
          <w:szCs w:val="24"/>
        </w:rPr>
      </w:pPr>
      <w:r w:rsidRPr="00B7646D">
        <w:rPr>
          <w:szCs w:val="24"/>
        </w:rPr>
        <w:t>Where there is a conflict between the needs of the service account holder and the EV driver (if different) the service account holder</w:t>
      </w:r>
      <w:r w:rsidR="00B7646D">
        <w:rPr>
          <w:szCs w:val="24"/>
        </w:rPr>
        <w:t>’</w:t>
      </w:r>
      <w:r w:rsidRPr="00B7646D">
        <w:rPr>
          <w:szCs w:val="24"/>
        </w:rPr>
        <w:t>s needs are optimized</w:t>
      </w:r>
      <w:r w:rsidR="00B7646D">
        <w:rPr>
          <w:szCs w:val="24"/>
        </w:rPr>
        <w:t xml:space="preserve"> </w:t>
      </w:r>
    </w:p>
    <w:p w14:paraId="72157D71" w14:textId="4B54F164" w:rsidR="00235986" w:rsidRPr="00235986" w:rsidRDefault="00235986" w:rsidP="00235986">
      <w:pPr>
        <w:pStyle w:val="ListParagraph"/>
        <w:numPr>
          <w:ilvl w:val="0"/>
          <w:numId w:val="43"/>
        </w:numPr>
        <w:rPr>
          <w:szCs w:val="24"/>
        </w:rPr>
      </w:pPr>
      <w:r>
        <w:rPr>
          <w:szCs w:val="24"/>
        </w:rPr>
        <w:t>Assumes conformance to HB130/44 for pricing display requirements</w:t>
      </w:r>
    </w:p>
    <w:p w14:paraId="12C4E335" w14:textId="77777777" w:rsidR="00324569" w:rsidRDefault="00324569" w:rsidP="00324569">
      <w:pPr>
        <w:ind w:left="360"/>
      </w:pPr>
    </w:p>
    <w:p w14:paraId="2CE0492E" w14:textId="77777777" w:rsidR="00256B42" w:rsidRPr="00256B42" w:rsidRDefault="00256B42" w:rsidP="00256B42"/>
    <w:p w14:paraId="20F24BE9" w14:textId="77777777" w:rsidR="00EF44A2" w:rsidRDefault="00EF44A2" w:rsidP="0029735B">
      <w:pPr>
        <w:pStyle w:val="Heading1"/>
        <w:numPr>
          <w:ilvl w:val="0"/>
          <w:numId w:val="0"/>
        </w:numPr>
      </w:pPr>
      <w:bookmarkStart w:id="7" w:name="_Toc484168018"/>
      <w:r w:rsidRPr="00EF44A2">
        <w:lastRenderedPageBreak/>
        <w:t>Actors</w:t>
      </w:r>
      <w:bookmarkEnd w:id="7"/>
    </w:p>
    <w:p w14:paraId="45DD2CDA" w14:textId="77777777" w:rsidR="00D93142" w:rsidRPr="00CE2FC9" w:rsidRDefault="00D93142" w:rsidP="00EF44A2">
      <w:pPr>
        <w:rPr>
          <w:b/>
          <w:color w:val="FF0000"/>
          <w:u w:val="single"/>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2877"/>
        <w:gridCol w:w="2338"/>
        <w:gridCol w:w="7731"/>
      </w:tblGrid>
      <w:tr w:rsidR="0099655A" w14:paraId="1A04AAC0" w14:textId="77777777">
        <w:trPr>
          <w:cantSplit/>
          <w:tblHeader/>
        </w:trPr>
        <w:tc>
          <w:tcPr>
            <w:tcW w:w="1111" w:type="pct"/>
            <w:shd w:val="clear" w:color="auto" w:fill="D9D9D9"/>
          </w:tcPr>
          <w:p w14:paraId="510E7006" w14:textId="77777777" w:rsidR="00EF44A2" w:rsidRDefault="00EF44A2" w:rsidP="005C5A7E">
            <w:pPr>
              <w:keepNext/>
              <w:ind w:left="113" w:right="113"/>
              <w:jc w:val="center"/>
              <w:rPr>
                <w:b/>
                <w:i/>
                <w:color w:val="333399"/>
              </w:rPr>
            </w:pPr>
            <w:r>
              <w:rPr>
                <w:b/>
                <w:i/>
                <w:color w:val="333399"/>
              </w:rPr>
              <w:t>Actor Name</w:t>
            </w:r>
          </w:p>
        </w:tc>
        <w:tc>
          <w:tcPr>
            <w:tcW w:w="903" w:type="pct"/>
            <w:shd w:val="clear" w:color="auto" w:fill="D9D9D9"/>
          </w:tcPr>
          <w:p w14:paraId="31EC854D" w14:textId="77777777" w:rsidR="00EF44A2" w:rsidRDefault="00EF44A2" w:rsidP="005C5A7E">
            <w:pPr>
              <w:keepNext/>
              <w:ind w:left="113" w:right="113"/>
              <w:jc w:val="center"/>
              <w:rPr>
                <w:b/>
                <w:i/>
                <w:color w:val="333399"/>
              </w:rPr>
            </w:pPr>
            <w:r>
              <w:rPr>
                <w:b/>
                <w:i/>
                <w:color w:val="333399"/>
              </w:rPr>
              <w:t>Actor Type (person, device, system etc.)</w:t>
            </w:r>
          </w:p>
        </w:tc>
        <w:tc>
          <w:tcPr>
            <w:tcW w:w="2986" w:type="pct"/>
            <w:shd w:val="clear" w:color="auto" w:fill="D9D9D9"/>
          </w:tcPr>
          <w:p w14:paraId="59C29CC2" w14:textId="77777777" w:rsidR="00EF44A2" w:rsidRDefault="00EF44A2" w:rsidP="005C5A7E">
            <w:pPr>
              <w:keepNext/>
              <w:ind w:left="113" w:right="113"/>
              <w:jc w:val="center"/>
              <w:rPr>
                <w:b/>
                <w:i/>
                <w:color w:val="333399"/>
              </w:rPr>
            </w:pPr>
            <w:r>
              <w:rPr>
                <w:b/>
                <w:i/>
                <w:color w:val="333399"/>
              </w:rPr>
              <w:t>Actor Description</w:t>
            </w:r>
          </w:p>
        </w:tc>
      </w:tr>
      <w:tr w:rsidR="0069544E" w:rsidRPr="0005290D" w14:paraId="608C3499" w14:textId="77777777" w:rsidTr="002333CC">
        <w:trPr>
          <w:cantSplit/>
        </w:trPr>
        <w:tc>
          <w:tcPr>
            <w:tcW w:w="1111" w:type="pct"/>
          </w:tcPr>
          <w:p w14:paraId="40174D49" w14:textId="505AB92C" w:rsidR="0069544E" w:rsidRDefault="00F50E64" w:rsidP="0069544E">
            <w:r>
              <w:t>Plug in Electric Vehicle or Plug in Hybrid Electric Vehicle (</w:t>
            </w:r>
            <w:r w:rsidR="002333CC">
              <w:t>EV</w:t>
            </w:r>
            <w:r>
              <w:t>)</w:t>
            </w:r>
          </w:p>
        </w:tc>
        <w:tc>
          <w:tcPr>
            <w:tcW w:w="903" w:type="pct"/>
          </w:tcPr>
          <w:p w14:paraId="58FCB293" w14:textId="7B119C39" w:rsidR="0069544E" w:rsidRDefault="002333CC" w:rsidP="0069544E">
            <w:pPr>
              <w:pStyle w:val="TableText"/>
            </w:pPr>
            <w:r>
              <w:t>Device</w:t>
            </w:r>
          </w:p>
        </w:tc>
        <w:tc>
          <w:tcPr>
            <w:tcW w:w="2986" w:type="pct"/>
          </w:tcPr>
          <w:p w14:paraId="715B8F0F" w14:textId="22792626" w:rsidR="002333CC" w:rsidRDefault="00F50E64" w:rsidP="00F50E64">
            <w:pPr>
              <w:pStyle w:val="TableText"/>
            </w:pPr>
            <w:r>
              <w:t>May be the end node for aggregator load management signal communicated through charging cable or directly via telematics</w:t>
            </w:r>
          </w:p>
        </w:tc>
      </w:tr>
      <w:tr w:rsidR="002333CC" w:rsidRPr="0005290D" w14:paraId="7C6BE891" w14:textId="77777777" w:rsidTr="002333CC">
        <w:trPr>
          <w:cantSplit/>
        </w:trPr>
        <w:tc>
          <w:tcPr>
            <w:tcW w:w="1111" w:type="pct"/>
          </w:tcPr>
          <w:p w14:paraId="262C95D1" w14:textId="52C5EB93" w:rsidR="002333CC" w:rsidRDefault="002333CC" w:rsidP="0069544E">
            <w:r>
              <w:t>Service Provider/Aggregator</w:t>
            </w:r>
          </w:p>
        </w:tc>
        <w:tc>
          <w:tcPr>
            <w:tcW w:w="903" w:type="pct"/>
          </w:tcPr>
          <w:p w14:paraId="177C3B16" w14:textId="0DEB4BA2" w:rsidR="002333CC" w:rsidRDefault="002333CC" w:rsidP="0069544E">
            <w:pPr>
              <w:pStyle w:val="TableText"/>
            </w:pPr>
            <w:r>
              <w:t>System</w:t>
            </w:r>
          </w:p>
        </w:tc>
        <w:tc>
          <w:tcPr>
            <w:tcW w:w="2986" w:type="pct"/>
          </w:tcPr>
          <w:p w14:paraId="13F36B66" w14:textId="0B0DF38F" w:rsidR="002333CC" w:rsidRDefault="002333CC" w:rsidP="002333CC">
            <w:pPr>
              <w:pStyle w:val="TableText"/>
            </w:pPr>
            <w:r>
              <w:t>Any entity that is manages a group of EVs or EVSEs for the purposes of providing grid services such as measurements or control.</w:t>
            </w:r>
          </w:p>
        </w:tc>
      </w:tr>
      <w:tr w:rsidR="002333CC" w:rsidRPr="0005290D" w14:paraId="1FB991EB" w14:textId="77777777" w:rsidTr="002333CC">
        <w:trPr>
          <w:cantSplit/>
        </w:trPr>
        <w:tc>
          <w:tcPr>
            <w:tcW w:w="1111" w:type="pct"/>
          </w:tcPr>
          <w:p w14:paraId="485E86DA" w14:textId="64A6881E" w:rsidR="002333CC" w:rsidRDefault="00F50E64" w:rsidP="0069544E">
            <w:r>
              <w:t>Electric Vehicle Supply Equipment (</w:t>
            </w:r>
            <w:r w:rsidR="002333CC">
              <w:t>EVSE</w:t>
            </w:r>
            <w:r>
              <w:t>)</w:t>
            </w:r>
          </w:p>
        </w:tc>
        <w:tc>
          <w:tcPr>
            <w:tcW w:w="903" w:type="pct"/>
          </w:tcPr>
          <w:p w14:paraId="6D68464A" w14:textId="324D37C5" w:rsidR="002333CC" w:rsidRDefault="002333CC" w:rsidP="0069544E">
            <w:pPr>
              <w:pStyle w:val="TableText"/>
            </w:pPr>
            <w:r>
              <w:t>Device</w:t>
            </w:r>
          </w:p>
        </w:tc>
        <w:tc>
          <w:tcPr>
            <w:tcW w:w="2986" w:type="pct"/>
          </w:tcPr>
          <w:p w14:paraId="545D70B4" w14:textId="2C44158A" w:rsidR="002333CC" w:rsidRDefault="00F50E64" w:rsidP="00F50E64">
            <w:pPr>
              <w:pStyle w:val="TableText"/>
              <w:ind w:left="0"/>
            </w:pPr>
            <w:r>
              <w:t>Charging equipment that may be the end node for aggregator load management signal or may contain a gateway/bridge allowing for the load management signal to be sent to the EV</w:t>
            </w:r>
          </w:p>
        </w:tc>
      </w:tr>
      <w:tr w:rsidR="002333CC" w:rsidRPr="0005290D" w14:paraId="1EF426B9" w14:textId="77777777" w:rsidTr="008D7AFC">
        <w:trPr>
          <w:cantSplit/>
        </w:trPr>
        <w:tc>
          <w:tcPr>
            <w:tcW w:w="1111" w:type="pct"/>
          </w:tcPr>
          <w:p w14:paraId="78AFFDA9" w14:textId="42EBBECB" w:rsidR="002333CC" w:rsidRDefault="00D726C3" w:rsidP="0069544E">
            <w:r>
              <w:t>California Independent System Operator (CAISO)</w:t>
            </w:r>
          </w:p>
        </w:tc>
        <w:tc>
          <w:tcPr>
            <w:tcW w:w="903" w:type="pct"/>
          </w:tcPr>
          <w:p w14:paraId="12A3443E" w14:textId="63FC7672" w:rsidR="002333CC" w:rsidRDefault="002333CC" w:rsidP="0069544E">
            <w:pPr>
              <w:pStyle w:val="TableText"/>
            </w:pPr>
            <w:r>
              <w:t>System</w:t>
            </w:r>
          </w:p>
        </w:tc>
        <w:tc>
          <w:tcPr>
            <w:tcW w:w="2986" w:type="pct"/>
          </w:tcPr>
          <w:p w14:paraId="1C7DBE24" w14:textId="7BA0E7D2" w:rsidR="002333CC" w:rsidRDefault="00741543" w:rsidP="002333CC">
            <w:pPr>
              <w:pStyle w:val="TableText"/>
            </w:pPr>
            <w:r>
              <w:t>Entity</w:t>
            </w:r>
            <w:r w:rsidR="00D726C3" w:rsidRPr="00D726C3">
              <w:t xml:space="preserve"> oversees the operation of California's bulk electric power</w:t>
            </w:r>
            <w:r>
              <w:t xml:space="preserve"> </w:t>
            </w:r>
            <w:r w:rsidR="00D726C3" w:rsidRPr="00D726C3">
              <w:t>system, transmission lines, and electricity market generated and transmitted by its member utilities</w:t>
            </w:r>
          </w:p>
        </w:tc>
      </w:tr>
      <w:tr w:rsidR="008D7AFC" w:rsidRPr="0005290D" w14:paraId="7FF35417" w14:textId="77777777" w:rsidTr="008D7AFC">
        <w:trPr>
          <w:cantSplit/>
        </w:trPr>
        <w:tc>
          <w:tcPr>
            <w:tcW w:w="1111" w:type="pct"/>
          </w:tcPr>
          <w:p w14:paraId="37A43B8F" w14:textId="34EDFECD" w:rsidR="008D7AFC" w:rsidRDefault="008D7AFC" w:rsidP="0069544E">
            <w:r>
              <w:t>Service Account Holder</w:t>
            </w:r>
          </w:p>
        </w:tc>
        <w:tc>
          <w:tcPr>
            <w:tcW w:w="903" w:type="pct"/>
          </w:tcPr>
          <w:p w14:paraId="328DAB66" w14:textId="2954CF79" w:rsidR="008D7AFC" w:rsidRDefault="008D7AFC" w:rsidP="0069544E">
            <w:pPr>
              <w:pStyle w:val="TableText"/>
            </w:pPr>
            <w:r>
              <w:t>Person</w:t>
            </w:r>
          </w:p>
        </w:tc>
        <w:tc>
          <w:tcPr>
            <w:tcW w:w="2986" w:type="pct"/>
          </w:tcPr>
          <w:p w14:paraId="7FF548B5" w14:textId="619392EE" w:rsidR="008D7AFC" w:rsidRDefault="008D7AFC" w:rsidP="002333CC">
            <w:pPr>
              <w:pStyle w:val="TableText"/>
            </w:pPr>
            <w:r>
              <w:t>The owner or leaser of any residential or commercial/industrial facility that is responsible for the paying the energy and demand cost for the EV charging. May be the same as the EV owner</w:t>
            </w:r>
            <w:r w:rsidR="00582E1E">
              <w:t>.</w:t>
            </w:r>
          </w:p>
        </w:tc>
      </w:tr>
      <w:tr w:rsidR="008D7AFC" w:rsidRPr="0005290D" w14:paraId="748758A7" w14:textId="77777777" w:rsidTr="008D7AFC">
        <w:trPr>
          <w:cantSplit/>
        </w:trPr>
        <w:tc>
          <w:tcPr>
            <w:tcW w:w="1111" w:type="pct"/>
          </w:tcPr>
          <w:p w14:paraId="4E874357" w14:textId="0760E673" w:rsidR="008D7AFC" w:rsidRDefault="008D7AFC" w:rsidP="0069544E">
            <w:r>
              <w:t>EV Driver</w:t>
            </w:r>
          </w:p>
        </w:tc>
        <w:tc>
          <w:tcPr>
            <w:tcW w:w="903" w:type="pct"/>
          </w:tcPr>
          <w:p w14:paraId="362F338E" w14:textId="2B756CEC" w:rsidR="008D7AFC" w:rsidRDefault="008D7AFC" w:rsidP="0069544E">
            <w:pPr>
              <w:pStyle w:val="TableText"/>
            </w:pPr>
            <w:r>
              <w:t>Person</w:t>
            </w:r>
          </w:p>
        </w:tc>
        <w:tc>
          <w:tcPr>
            <w:tcW w:w="2986" w:type="pct"/>
          </w:tcPr>
          <w:p w14:paraId="4BD99073" w14:textId="049EE0B4" w:rsidR="008D7AFC" w:rsidRDefault="008D7AFC" w:rsidP="002333CC">
            <w:pPr>
              <w:pStyle w:val="TableText"/>
            </w:pPr>
            <w:r>
              <w:t>The person who is responsible for charging the vehicle and making decisions for charging. May differ from the service account holder</w:t>
            </w:r>
          </w:p>
        </w:tc>
      </w:tr>
      <w:tr w:rsidR="008D7AFC" w:rsidRPr="0005290D" w14:paraId="51F088F8" w14:textId="77777777" w:rsidTr="00741543">
        <w:trPr>
          <w:cantSplit/>
        </w:trPr>
        <w:tc>
          <w:tcPr>
            <w:tcW w:w="1111" w:type="pct"/>
          </w:tcPr>
          <w:p w14:paraId="08BAE4B2" w14:textId="1B01D684" w:rsidR="008D7AFC" w:rsidRDefault="00D726C3" w:rsidP="0069544E">
            <w:r>
              <w:t>Distribution System Operator</w:t>
            </w:r>
          </w:p>
        </w:tc>
        <w:tc>
          <w:tcPr>
            <w:tcW w:w="903" w:type="pct"/>
          </w:tcPr>
          <w:p w14:paraId="04E43B1D" w14:textId="308F52E8" w:rsidR="008D7AFC" w:rsidRDefault="00D726C3" w:rsidP="0069544E">
            <w:pPr>
              <w:pStyle w:val="TableText"/>
            </w:pPr>
            <w:r>
              <w:t>System</w:t>
            </w:r>
          </w:p>
        </w:tc>
        <w:tc>
          <w:tcPr>
            <w:tcW w:w="2986" w:type="pct"/>
          </w:tcPr>
          <w:p w14:paraId="42BC6EB9" w14:textId="2BE0D2B3" w:rsidR="008D7AFC" w:rsidRDefault="00741543" w:rsidP="00741543">
            <w:pPr>
              <w:pStyle w:val="TableText"/>
            </w:pPr>
            <w:r>
              <w:rPr>
                <w:rFonts w:cs="Arial"/>
                <w:color w:val="333333"/>
                <w:sz w:val="21"/>
                <w:szCs w:val="21"/>
                <w:shd w:val="clear" w:color="auto" w:fill="FFFFFF"/>
              </w:rPr>
              <w:t>Entity responsible for operating the distribution system in a given area.</w:t>
            </w:r>
          </w:p>
        </w:tc>
      </w:tr>
      <w:tr w:rsidR="00582E1E" w:rsidRPr="0005290D" w14:paraId="283F6D94" w14:textId="77777777" w:rsidTr="00582E1E">
        <w:trPr>
          <w:cantSplit/>
        </w:trPr>
        <w:tc>
          <w:tcPr>
            <w:tcW w:w="1111" w:type="pct"/>
          </w:tcPr>
          <w:p w14:paraId="3B12958D" w14:textId="0E013493" w:rsidR="00582E1E" w:rsidRDefault="00582E1E" w:rsidP="00582E1E">
            <w:r w:rsidRPr="00374BCB">
              <w:rPr>
                <w:rFonts w:cs="Arial"/>
                <w:sz w:val="22"/>
                <w:szCs w:val="22"/>
              </w:rPr>
              <w:t>Utility</w:t>
            </w:r>
          </w:p>
        </w:tc>
        <w:tc>
          <w:tcPr>
            <w:tcW w:w="903" w:type="pct"/>
          </w:tcPr>
          <w:p w14:paraId="53001D56" w14:textId="5F4A92AA" w:rsidR="00582E1E" w:rsidRDefault="00582E1E" w:rsidP="00582E1E">
            <w:pPr>
              <w:pStyle w:val="TableText"/>
            </w:pPr>
            <w:r w:rsidRPr="00374BCB">
              <w:rPr>
                <w:rFonts w:cs="Arial"/>
                <w:sz w:val="22"/>
                <w:szCs w:val="22"/>
              </w:rPr>
              <w:t>System</w:t>
            </w:r>
          </w:p>
        </w:tc>
        <w:tc>
          <w:tcPr>
            <w:tcW w:w="2986" w:type="pct"/>
          </w:tcPr>
          <w:p w14:paraId="46724149" w14:textId="76C0FC5A" w:rsidR="00582E1E" w:rsidRDefault="00582E1E" w:rsidP="00582E1E">
            <w:pPr>
              <w:pStyle w:val="TableText"/>
              <w:rPr>
                <w:rFonts w:cs="Arial"/>
                <w:color w:val="333333"/>
                <w:sz w:val="21"/>
                <w:szCs w:val="21"/>
                <w:shd w:val="clear" w:color="auto" w:fill="FFFFFF"/>
              </w:rPr>
            </w:pPr>
            <w:r w:rsidRPr="00374BCB">
              <w:rPr>
                <w:rFonts w:cs="Arial"/>
                <w:color w:val="222222"/>
                <w:sz w:val="22"/>
                <w:szCs w:val="22"/>
                <w:shd w:val="clear" w:color="auto" w:fill="FFFFFF"/>
              </w:rPr>
              <w:t>A company in the</w:t>
            </w:r>
            <w:r w:rsidRPr="00374BCB">
              <w:rPr>
                <w:rStyle w:val="apple-converted-space"/>
                <w:rFonts w:cs="Arial"/>
                <w:color w:val="222222"/>
                <w:sz w:val="22"/>
                <w:szCs w:val="22"/>
                <w:shd w:val="clear" w:color="auto" w:fill="FFFFFF"/>
              </w:rPr>
              <w:t> </w:t>
            </w:r>
            <w:r w:rsidRPr="00374BCB">
              <w:rPr>
                <w:rFonts w:cs="Arial"/>
                <w:bCs/>
                <w:color w:val="222222"/>
                <w:sz w:val="22"/>
                <w:szCs w:val="22"/>
                <w:shd w:val="clear" w:color="auto" w:fill="FFFFFF"/>
              </w:rPr>
              <w:t>electric</w:t>
            </w:r>
            <w:r w:rsidRPr="00374BCB">
              <w:rPr>
                <w:rStyle w:val="apple-converted-space"/>
                <w:rFonts w:cs="Arial"/>
                <w:color w:val="222222"/>
                <w:sz w:val="22"/>
                <w:szCs w:val="22"/>
                <w:shd w:val="clear" w:color="auto" w:fill="FFFFFF"/>
              </w:rPr>
              <w:t> </w:t>
            </w:r>
            <w:r w:rsidRPr="00374BCB">
              <w:rPr>
                <w:rFonts w:cs="Arial"/>
                <w:color w:val="222222"/>
                <w:sz w:val="22"/>
                <w:szCs w:val="22"/>
                <w:shd w:val="clear" w:color="auto" w:fill="FFFFFF"/>
              </w:rPr>
              <w:t>power industry that engages in</w:t>
            </w:r>
            <w:r w:rsidRPr="00374BCB">
              <w:rPr>
                <w:rStyle w:val="apple-converted-space"/>
                <w:rFonts w:cs="Arial"/>
                <w:color w:val="222222"/>
                <w:sz w:val="22"/>
                <w:szCs w:val="22"/>
                <w:shd w:val="clear" w:color="auto" w:fill="FFFFFF"/>
              </w:rPr>
              <w:t> </w:t>
            </w:r>
            <w:r w:rsidRPr="00374BCB">
              <w:rPr>
                <w:rFonts w:cs="Arial"/>
                <w:bCs/>
                <w:color w:val="222222"/>
                <w:sz w:val="22"/>
                <w:szCs w:val="22"/>
                <w:shd w:val="clear" w:color="auto" w:fill="FFFFFF"/>
              </w:rPr>
              <w:t>electricity</w:t>
            </w:r>
            <w:r w:rsidRPr="00374BCB">
              <w:rPr>
                <w:rStyle w:val="apple-converted-space"/>
                <w:rFonts w:cs="Arial"/>
                <w:color w:val="222222"/>
                <w:sz w:val="22"/>
                <w:szCs w:val="22"/>
                <w:shd w:val="clear" w:color="auto" w:fill="FFFFFF"/>
              </w:rPr>
              <w:t> </w:t>
            </w:r>
            <w:r w:rsidRPr="00374BCB">
              <w:rPr>
                <w:rFonts w:cs="Arial"/>
                <w:color w:val="222222"/>
                <w:sz w:val="22"/>
                <w:szCs w:val="22"/>
                <w:shd w:val="clear" w:color="auto" w:fill="FFFFFF"/>
              </w:rPr>
              <w:t>generation and distribution of</w:t>
            </w:r>
            <w:r w:rsidRPr="00374BCB">
              <w:rPr>
                <w:rStyle w:val="apple-converted-space"/>
                <w:rFonts w:cs="Arial"/>
                <w:color w:val="222222"/>
                <w:sz w:val="22"/>
                <w:szCs w:val="22"/>
                <w:shd w:val="clear" w:color="auto" w:fill="FFFFFF"/>
              </w:rPr>
              <w:t> </w:t>
            </w:r>
            <w:r w:rsidRPr="00374BCB">
              <w:rPr>
                <w:rFonts w:cs="Arial"/>
                <w:bCs/>
                <w:color w:val="222222"/>
                <w:sz w:val="22"/>
                <w:szCs w:val="22"/>
                <w:shd w:val="clear" w:color="auto" w:fill="FFFFFF"/>
              </w:rPr>
              <w:t>electricity</w:t>
            </w:r>
            <w:r w:rsidRPr="00374BCB">
              <w:rPr>
                <w:rStyle w:val="apple-converted-space"/>
                <w:rFonts w:cs="Arial"/>
                <w:color w:val="222222"/>
                <w:sz w:val="22"/>
                <w:szCs w:val="22"/>
                <w:shd w:val="clear" w:color="auto" w:fill="FFFFFF"/>
              </w:rPr>
              <w:t> </w:t>
            </w:r>
            <w:r w:rsidRPr="00374BCB">
              <w:rPr>
                <w:rFonts w:cs="Arial"/>
                <w:color w:val="222222"/>
                <w:sz w:val="22"/>
                <w:szCs w:val="22"/>
                <w:shd w:val="clear" w:color="auto" w:fill="FFFFFF"/>
              </w:rPr>
              <w:t>for sale generally in a regulated market</w:t>
            </w:r>
            <w:r>
              <w:rPr>
                <w:rFonts w:cs="Arial"/>
                <w:color w:val="222222"/>
                <w:sz w:val="22"/>
                <w:szCs w:val="22"/>
                <w:shd w:val="clear" w:color="auto" w:fill="FFFFFF"/>
              </w:rPr>
              <w:t>. May or may not be the DSO</w:t>
            </w:r>
          </w:p>
        </w:tc>
      </w:tr>
      <w:tr w:rsidR="00582E1E" w:rsidRPr="0005290D" w14:paraId="0CC1A8F6" w14:textId="77777777" w:rsidTr="00046E79">
        <w:trPr>
          <w:cantSplit/>
        </w:trPr>
        <w:tc>
          <w:tcPr>
            <w:tcW w:w="1111" w:type="pct"/>
            <w:tcBorders>
              <w:bottom w:val="single" w:sz="6" w:space="0" w:color="auto"/>
            </w:tcBorders>
          </w:tcPr>
          <w:p w14:paraId="02286CF0" w14:textId="531930F5" w:rsidR="00582E1E" w:rsidRPr="00374BCB" w:rsidRDefault="00582E1E" w:rsidP="00582E1E">
            <w:pPr>
              <w:rPr>
                <w:rFonts w:cs="Arial"/>
                <w:sz w:val="22"/>
                <w:szCs w:val="22"/>
              </w:rPr>
            </w:pPr>
            <w:r>
              <w:rPr>
                <w:rFonts w:cs="Arial"/>
                <w:sz w:val="22"/>
                <w:szCs w:val="22"/>
              </w:rPr>
              <w:t xml:space="preserve">EV </w:t>
            </w:r>
            <w:r w:rsidR="00FF49B4">
              <w:rPr>
                <w:rFonts w:cs="Arial"/>
                <w:sz w:val="22"/>
                <w:szCs w:val="22"/>
              </w:rPr>
              <w:t xml:space="preserve">or Fleet </w:t>
            </w:r>
            <w:r>
              <w:rPr>
                <w:rFonts w:cs="Arial"/>
                <w:sz w:val="22"/>
                <w:szCs w:val="22"/>
              </w:rPr>
              <w:t>Management System (EVMS); Building Management System (BMS)</w:t>
            </w:r>
            <w:r w:rsidR="00FF49B4">
              <w:rPr>
                <w:rFonts w:cs="Arial"/>
                <w:sz w:val="22"/>
                <w:szCs w:val="22"/>
              </w:rPr>
              <w:t xml:space="preserve">; </w:t>
            </w:r>
          </w:p>
        </w:tc>
        <w:tc>
          <w:tcPr>
            <w:tcW w:w="903" w:type="pct"/>
            <w:tcBorders>
              <w:bottom w:val="single" w:sz="6" w:space="0" w:color="auto"/>
            </w:tcBorders>
          </w:tcPr>
          <w:p w14:paraId="63E7DA99" w14:textId="2BFF8F84" w:rsidR="00582E1E" w:rsidRPr="00374BCB" w:rsidRDefault="00582E1E" w:rsidP="00582E1E">
            <w:pPr>
              <w:pStyle w:val="TableText"/>
              <w:rPr>
                <w:rFonts w:cs="Arial"/>
                <w:sz w:val="22"/>
                <w:szCs w:val="22"/>
              </w:rPr>
            </w:pPr>
            <w:r>
              <w:rPr>
                <w:rFonts w:cs="Arial"/>
                <w:sz w:val="22"/>
                <w:szCs w:val="22"/>
              </w:rPr>
              <w:t>Device</w:t>
            </w:r>
          </w:p>
        </w:tc>
        <w:tc>
          <w:tcPr>
            <w:tcW w:w="2986" w:type="pct"/>
            <w:tcBorders>
              <w:bottom w:val="single" w:sz="6" w:space="0" w:color="auto"/>
            </w:tcBorders>
          </w:tcPr>
          <w:p w14:paraId="50BA0E41" w14:textId="7F5E7F81" w:rsidR="00582E1E" w:rsidRPr="00374BCB" w:rsidRDefault="00582E1E" w:rsidP="00582E1E">
            <w:pPr>
              <w:pStyle w:val="TableText"/>
              <w:rPr>
                <w:rFonts w:cs="Arial"/>
                <w:color w:val="222222"/>
                <w:sz w:val="22"/>
                <w:szCs w:val="22"/>
                <w:shd w:val="clear" w:color="auto" w:fill="FFFFFF"/>
              </w:rPr>
            </w:pPr>
            <w:r>
              <w:rPr>
                <w:rFonts w:cs="Arial"/>
                <w:color w:val="222222"/>
                <w:sz w:val="22"/>
                <w:szCs w:val="22"/>
                <w:shd w:val="clear" w:color="auto" w:fill="FFFFFF"/>
              </w:rPr>
              <w:t>A local device that is managing EV charging (and possibly other site loads). Possibly required for site hosts to manage charging and respond to events as opposed to the driver.</w:t>
            </w:r>
          </w:p>
        </w:tc>
      </w:tr>
    </w:tbl>
    <w:p w14:paraId="4D35429D" w14:textId="27A6EF9A" w:rsidR="00EF44A2" w:rsidRPr="00EF44A2" w:rsidRDefault="00EF44A2" w:rsidP="00EF44A2">
      <w:pPr>
        <w:rPr>
          <w:i/>
          <w:color w:val="3366FF"/>
        </w:rPr>
      </w:pPr>
    </w:p>
    <w:p w14:paraId="68C9F0A7" w14:textId="2F5C1683" w:rsidR="00D93142" w:rsidRPr="005F3FA3" w:rsidRDefault="0029735B" w:rsidP="0029735B">
      <w:pPr>
        <w:pStyle w:val="Heading1"/>
        <w:numPr>
          <w:ilvl w:val="0"/>
          <w:numId w:val="0"/>
        </w:numPr>
        <w:rPr>
          <w:color w:val="000000" w:themeColor="text1"/>
        </w:rPr>
      </w:pPr>
      <w:bookmarkStart w:id="8" w:name="_Toc484168019"/>
      <w:r>
        <w:lastRenderedPageBreak/>
        <w:t>Scenario 1: Dynamic Pricing</w:t>
      </w:r>
      <w:bookmarkEnd w:id="8"/>
    </w:p>
    <w:tbl>
      <w:tblPr>
        <w:tblStyle w:val="TableGrid"/>
        <w:tblW w:w="8782" w:type="dxa"/>
        <w:tblInd w:w="-95" w:type="dxa"/>
        <w:tblLook w:val="04A0" w:firstRow="1" w:lastRow="0" w:firstColumn="1" w:lastColumn="0" w:noHBand="0" w:noVBand="1"/>
      </w:tblPr>
      <w:tblGrid>
        <w:gridCol w:w="2917"/>
        <w:gridCol w:w="2947"/>
        <w:gridCol w:w="2918"/>
      </w:tblGrid>
      <w:tr w:rsidR="00FF49B4" w14:paraId="267F80B9" w14:textId="77777777" w:rsidTr="00FF49B4">
        <w:trPr>
          <w:trHeight w:val="629"/>
        </w:trPr>
        <w:tc>
          <w:tcPr>
            <w:tcW w:w="2917" w:type="dxa"/>
            <w:shd w:val="clear" w:color="auto" w:fill="E7E6E6" w:themeFill="background2"/>
            <w:vAlign w:val="center"/>
          </w:tcPr>
          <w:p w14:paraId="4ABC3333" w14:textId="77777777" w:rsidR="00FF49B4" w:rsidRPr="001F3020" w:rsidRDefault="00FF49B4" w:rsidP="00CF0E09">
            <w:pPr>
              <w:jc w:val="center"/>
              <w:rPr>
                <w:b/>
                <w:bCs/>
              </w:rPr>
            </w:pPr>
            <w:r w:rsidRPr="001F3020">
              <w:rPr>
                <w:b/>
                <w:bCs/>
              </w:rPr>
              <w:t>Triggering Event</w:t>
            </w:r>
          </w:p>
        </w:tc>
        <w:tc>
          <w:tcPr>
            <w:tcW w:w="2947" w:type="dxa"/>
            <w:shd w:val="clear" w:color="auto" w:fill="E7E6E6" w:themeFill="background2"/>
            <w:vAlign w:val="center"/>
          </w:tcPr>
          <w:p w14:paraId="269510E0" w14:textId="77777777" w:rsidR="00FF49B4" w:rsidRPr="001F3020" w:rsidRDefault="00FF49B4" w:rsidP="00CF0E09">
            <w:pPr>
              <w:jc w:val="center"/>
              <w:rPr>
                <w:b/>
                <w:bCs/>
              </w:rPr>
            </w:pPr>
            <w:r w:rsidRPr="001F3020">
              <w:rPr>
                <w:b/>
                <w:bCs/>
              </w:rPr>
              <w:t>Pre-Condition</w:t>
            </w:r>
          </w:p>
        </w:tc>
        <w:tc>
          <w:tcPr>
            <w:tcW w:w="2918" w:type="dxa"/>
            <w:shd w:val="clear" w:color="auto" w:fill="E7E6E6" w:themeFill="background2"/>
            <w:vAlign w:val="center"/>
          </w:tcPr>
          <w:p w14:paraId="3FB53A04" w14:textId="77777777" w:rsidR="00FF49B4" w:rsidRPr="001F3020" w:rsidRDefault="00FF49B4" w:rsidP="00CF0E09">
            <w:pPr>
              <w:jc w:val="center"/>
              <w:rPr>
                <w:b/>
                <w:bCs/>
              </w:rPr>
            </w:pPr>
            <w:r w:rsidRPr="001F3020">
              <w:rPr>
                <w:b/>
                <w:bCs/>
              </w:rPr>
              <w:t>Post-Condition</w:t>
            </w:r>
          </w:p>
        </w:tc>
      </w:tr>
      <w:tr w:rsidR="00FF49B4" w:rsidRPr="00EE3F8B" w14:paraId="0AE97E26" w14:textId="77777777" w:rsidTr="00FF49B4">
        <w:tc>
          <w:tcPr>
            <w:tcW w:w="2917" w:type="dxa"/>
          </w:tcPr>
          <w:p w14:paraId="047A07D0" w14:textId="622186FC" w:rsidR="00FF49B4" w:rsidRPr="00374BCB" w:rsidRDefault="00FF49B4" w:rsidP="00CF0E09">
            <w:pPr>
              <w:pStyle w:val="TableText"/>
              <w:rPr>
                <w:sz w:val="22"/>
                <w:szCs w:val="22"/>
              </w:rPr>
            </w:pPr>
            <w:bookmarkStart w:id="9" w:name="_Hlk484140851"/>
            <w:r w:rsidRPr="00374BCB">
              <w:rPr>
                <w:sz w:val="22"/>
                <w:szCs w:val="22"/>
              </w:rPr>
              <w:t xml:space="preserve">Utility or DSO forecasts or observes an imbalance of load vs generation and transmits dynamic price </w:t>
            </w:r>
            <w:r>
              <w:rPr>
                <w:sz w:val="22"/>
                <w:szCs w:val="22"/>
              </w:rPr>
              <w:t>signal to the aggregator</w:t>
            </w:r>
          </w:p>
        </w:tc>
        <w:tc>
          <w:tcPr>
            <w:tcW w:w="2947" w:type="dxa"/>
          </w:tcPr>
          <w:p w14:paraId="4E6F51B2" w14:textId="77777777" w:rsidR="00FF49B4" w:rsidRPr="00374BCB" w:rsidRDefault="00FF49B4" w:rsidP="00CF0E09">
            <w:pPr>
              <w:pStyle w:val="TableText"/>
              <w:ind w:left="0"/>
              <w:rPr>
                <w:sz w:val="22"/>
                <w:szCs w:val="22"/>
              </w:rPr>
            </w:pPr>
            <w:r w:rsidRPr="00374BCB">
              <w:rPr>
                <w:sz w:val="22"/>
                <w:szCs w:val="22"/>
              </w:rPr>
              <w:t xml:space="preserve">Utility/Aggregator/Customer Program contracts are in place. </w:t>
            </w:r>
          </w:p>
        </w:tc>
        <w:tc>
          <w:tcPr>
            <w:tcW w:w="2918" w:type="dxa"/>
          </w:tcPr>
          <w:p w14:paraId="1F9DFC6C" w14:textId="3B7EBD02" w:rsidR="00FF49B4" w:rsidRPr="00374BCB" w:rsidRDefault="00FF49B4" w:rsidP="0029735B">
            <w:pPr>
              <w:pStyle w:val="TableText"/>
              <w:rPr>
                <w:sz w:val="22"/>
                <w:szCs w:val="22"/>
              </w:rPr>
            </w:pPr>
            <w:r>
              <w:rPr>
                <w:sz w:val="22"/>
                <w:szCs w:val="22"/>
              </w:rPr>
              <w:t>Desired balance between load and supply has been restored and the pricing event has been concluded.</w:t>
            </w:r>
          </w:p>
        </w:tc>
      </w:tr>
      <w:bookmarkEnd w:id="9"/>
    </w:tbl>
    <w:p w14:paraId="3A993326" w14:textId="77777777" w:rsidR="00582E1E" w:rsidRDefault="00582E1E" w:rsidP="00582E1E"/>
    <w:p w14:paraId="5AA51EEC" w14:textId="77777777" w:rsidR="00582E1E" w:rsidRPr="001F3020" w:rsidRDefault="00582E1E" w:rsidP="00582E1E"/>
    <w:tbl>
      <w:tblPr>
        <w:tblStyle w:val="TableGrid"/>
        <w:tblW w:w="11700" w:type="dxa"/>
        <w:tblInd w:w="-95" w:type="dxa"/>
        <w:tblLook w:val="04A0" w:firstRow="1" w:lastRow="0" w:firstColumn="1" w:lastColumn="0" w:noHBand="0" w:noVBand="1"/>
      </w:tblPr>
      <w:tblGrid>
        <w:gridCol w:w="990"/>
        <w:gridCol w:w="2250"/>
        <w:gridCol w:w="5220"/>
        <w:gridCol w:w="3240"/>
      </w:tblGrid>
      <w:tr w:rsidR="00582E1E" w14:paraId="6249DF63" w14:textId="77777777" w:rsidTr="00582E1E">
        <w:trPr>
          <w:trHeight w:val="629"/>
        </w:trPr>
        <w:tc>
          <w:tcPr>
            <w:tcW w:w="990" w:type="dxa"/>
            <w:shd w:val="clear" w:color="auto" w:fill="E7E6E6" w:themeFill="background2"/>
            <w:vAlign w:val="center"/>
          </w:tcPr>
          <w:p w14:paraId="0BA0394D" w14:textId="77777777" w:rsidR="00582E1E" w:rsidRPr="001F3020" w:rsidRDefault="00582E1E" w:rsidP="00CF0E09">
            <w:pPr>
              <w:jc w:val="center"/>
              <w:rPr>
                <w:b/>
                <w:bCs/>
              </w:rPr>
            </w:pPr>
            <w:r>
              <w:rPr>
                <w:b/>
                <w:bCs/>
              </w:rPr>
              <w:t>Step #</w:t>
            </w:r>
          </w:p>
        </w:tc>
        <w:tc>
          <w:tcPr>
            <w:tcW w:w="2250" w:type="dxa"/>
            <w:shd w:val="clear" w:color="auto" w:fill="E7E6E6" w:themeFill="background2"/>
            <w:vAlign w:val="center"/>
          </w:tcPr>
          <w:p w14:paraId="1CC2F23A" w14:textId="77777777" w:rsidR="00582E1E" w:rsidRPr="001F3020" w:rsidRDefault="00582E1E" w:rsidP="00CF0E09">
            <w:pPr>
              <w:jc w:val="center"/>
              <w:rPr>
                <w:b/>
                <w:bCs/>
              </w:rPr>
            </w:pPr>
            <w:r>
              <w:rPr>
                <w:b/>
                <w:bCs/>
              </w:rPr>
              <w:t>Actor</w:t>
            </w:r>
          </w:p>
        </w:tc>
        <w:tc>
          <w:tcPr>
            <w:tcW w:w="5220" w:type="dxa"/>
            <w:shd w:val="clear" w:color="auto" w:fill="E7E6E6" w:themeFill="background2"/>
            <w:vAlign w:val="center"/>
          </w:tcPr>
          <w:p w14:paraId="7DD357D5" w14:textId="77777777" w:rsidR="00582E1E" w:rsidRPr="001F3020" w:rsidRDefault="00582E1E" w:rsidP="00CF0E09">
            <w:pPr>
              <w:jc w:val="center"/>
              <w:rPr>
                <w:b/>
                <w:bCs/>
              </w:rPr>
            </w:pPr>
            <w:r>
              <w:rPr>
                <w:b/>
                <w:bCs/>
              </w:rPr>
              <w:t>Description of the Step</w:t>
            </w:r>
          </w:p>
        </w:tc>
        <w:tc>
          <w:tcPr>
            <w:tcW w:w="3240" w:type="dxa"/>
            <w:shd w:val="clear" w:color="auto" w:fill="E7E6E6" w:themeFill="background2"/>
            <w:vAlign w:val="center"/>
          </w:tcPr>
          <w:p w14:paraId="2FDD927F" w14:textId="77777777" w:rsidR="00582E1E" w:rsidRPr="001F3020" w:rsidRDefault="00582E1E" w:rsidP="00CF0E09">
            <w:pPr>
              <w:jc w:val="center"/>
              <w:rPr>
                <w:b/>
                <w:bCs/>
              </w:rPr>
            </w:pPr>
            <w:r>
              <w:rPr>
                <w:b/>
                <w:bCs/>
              </w:rPr>
              <w:t>Additional Notes</w:t>
            </w:r>
          </w:p>
        </w:tc>
      </w:tr>
      <w:tr w:rsidR="00582E1E" w14:paraId="7FE71B2A" w14:textId="77777777" w:rsidTr="00582E1E">
        <w:trPr>
          <w:trHeight w:val="1700"/>
        </w:trPr>
        <w:tc>
          <w:tcPr>
            <w:tcW w:w="990" w:type="dxa"/>
          </w:tcPr>
          <w:p w14:paraId="470BBD38" w14:textId="77777777" w:rsidR="00582E1E" w:rsidRPr="00374BCB" w:rsidRDefault="00582E1E" w:rsidP="00CF0E09">
            <w:pPr>
              <w:rPr>
                <w:rFonts w:cs="Arial"/>
                <w:sz w:val="22"/>
                <w:szCs w:val="22"/>
              </w:rPr>
            </w:pPr>
            <w:r w:rsidRPr="00374BCB">
              <w:rPr>
                <w:rFonts w:cs="Arial"/>
                <w:sz w:val="22"/>
                <w:szCs w:val="22"/>
              </w:rPr>
              <w:t>1</w:t>
            </w:r>
          </w:p>
        </w:tc>
        <w:tc>
          <w:tcPr>
            <w:tcW w:w="2250" w:type="dxa"/>
            <w:shd w:val="clear" w:color="auto" w:fill="auto"/>
          </w:tcPr>
          <w:p w14:paraId="2866E889" w14:textId="2504B663" w:rsidR="00582E1E" w:rsidRPr="00374BCB" w:rsidRDefault="0029735B" w:rsidP="00CF0E09">
            <w:pPr>
              <w:rPr>
                <w:rFonts w:cs="Arial"/>
                <w:sz w:val="22"/>
                <w:szCs w:val="22"/>
              </w:rPr>
            </w:pPr>
            <w:r>
              <w:rPr>
                <w:rFonts w:cs="Arial"/>
                <w:sz w:val="22"/>
                <w:szCs w:val="22"/>
              </w:rPr>
              <w:t>ISO</w:t>
            </w:r>
            <w:r w:rsidR="00C84783">
              <w:rPr>
                <w:rFonts w:cs="Arial"/>
                <w:sz w:val="22"/>
                <w:szCs w:val="22"/>
              </w:rPr>
              <w:t>/DSO</w:t>
            </w:r>
          </w:p>
        </w:tc>
        <w:tc>
          <w:tcPr>
            <w:tcW w:w="5220" w:type="dxa"/>
            <w:shd w:val="clear" w:color="auto" w:fill="auto"/>
          </w:tcPr>
          <w:p w14:paraId="0EF3856C" w14:textId="6DD64847" w:rsidR="00582E1E" w:rsidRPr="00374BCB" w:rsidRDefault="00582E1E" w:rsidP="00FF49B4">
            <w:pPr>
              <w:rPr>
                <w:rFonts w:cs="Arial"/>
                <w:sz w:val="22"/>
                <w:szCs w:val="22"/>
              </w:rPr>
            </w:pPr>
            <w:r w:rsidRPr="00374BCB">
              <w:rPr>
                <w:rFonts w:cs="Arial"/>
                <w:sz w:val="22"/>
                <w:szCs w:val="22"/>
              </w:rPr>
              <w:t xml:space="preserve">Observes or </w:t>
            </w:r>
            <w:r w:rsidR="00FF49B4">
              <w:rPr>
                <w:rFonts w:cs="Arial"/>
                <w:sz w:val="22"/>
                <w:szCs w:val="22"/>
              </w:rPr>
              <w:t>forecasts</w:t>
            </w:r>
            <w:r w:rsidRPr="00374BCB">
              <w:rPr>
                <w:rFonts w:cs="Arial"/>
                <w:sz w:val="22"/>
                <w:szCs w:val="22"/>
              </w:rPr>
              <w:t xml:space="preserve"> an imbalance of load vs generation</w:t>
            </w:r>
            <w:r w:rsidR="00C84783">
              <w:rPr>
                <w:rFonts w:cs="Arial"/>
                <w:sz w:val="22"/>
                <w:szCs w:val="22"/>
              </w:rPr>
              <w:t xml:space="preserve"> </w:t>
            </w:r>
            <w:r w:rsidRPr="00374BCB">
              <w:rPr>
                <w:rFonts w:cs="Arial"/>
                <w:sz w:val="22"/>
                <w:szCs w:val="22"/>
              </w:rPr>
              <w:t>and transmits dynamic price signal utilizing utility industry applied communications protocol (OpenADR or IEEE2030.5) to the designated aggregators</w:t>
            </w:r>
            <w:r w:rsidR="00C84783">
              <w:rPr>
                <w:rFonts w:cs="Arial"/>
                <w:sz w:val="22"/>
                <w:szCs w:val="22"/>
              </w:rPr>
              <w:t xml:space="preserve"> or management system</w:t>
            </w:r>
            <w:r>
              <w:rPr>
                <w:rFonts w:cs="Arial"/>
                <w:sz w:val="22"/>
                <w:szCs w:val="22"/>
              </w:rPr>
              <w:t xml:space="preserve">. </w:t>
            </w:r>
          </w:p>
        </w:tc>
        <w:tc>
          <w:tcPr>
            <w:tcW w:w="3240" w:type="dxa"/>
            <w:shd w:val="clear" w:color="auto" w:fill="auto"/>
          </w:tcPr>
          <w:p w14:paraId="2F5235CF" w14:textId="300C66F2" w:rsidR="00582E1E" w:rsidRPr="00374BCB" w:rsidRDefault="00582E1E" w:rsidP="0078584B">
            <w:pPr>
              <w:rPr>
                <w:rFonts w:cs="Arial"/>
                <w:sz w:val="22"/>
                <w:szCs w:val="22"/>
              </w:rPr>
            </w:pPr>
            <w:r w:rsidRPr="00374BCB">
              <w:rPr>
                <w:rFonts w:cs="Arial"/>
                <w:sz w:val="22"/>
                <w:szCs w:val="22"/>
              </w:rPr>
              <w:t>Signals can be day ahead or an hour ahead notifications</w:t>
            </w:r>
            <w:r w:rsidR="0078584B">
              <w:rPr>
                <w:rFonts w:cs="Arial"/>
                <w:sz w:val="22"/>
                <w:szCs w:val="22"/>
              </w:rPr>
              <w:t xml:space="preserve"> base on type of pricing program</w:t>
            </w:r>
          </w:p>
        </w:tc>
      </w:tr>
      <w:tr w:rsidR="00582E1E" w14:paraId="73FD499E" w14:textId="77777777" w:rsidTr="00582E1E">
        <w:trPr>
          <w:trHeight w:val="1691"/>
        </w:trPr>
        <w:tc>
          <w:tcPr>
            <w:tcW w:w="990" w:type="dxa"/>
          </w:tcPr>
          <w:p w14:paraId="600A19B6" w14:textId="73B5384C" w:rsidR="00582E1E" w:rsidRPr="00374BCB" w:rsidRDefault="00582E1E" w:rsidP="00CF0E09">
            <w:pPr>
              <w:rPr>
                <w:rFonts w:cs="Arial"/>
                <w:sz w:val="22"/>
                <w:szCs w:val="22"/>
              </w:rPr>
            </w:pPr>
            <w:r w:rsidRPr="00374BCB">
              <w:rPr>
                <w:rFonts w:cs="Arial"/>
                <w:sz w:val="22"/>
                <w:szCs w:val="22"/>
              </w:rPr>
              <w:t>2</w:t>
            </w:r>
            <w:r w:rsidR="0029735B">
              <w:rPr>
                <w:rFonts w:cs="Arial"/>
                <w:sz w:val="22"/>
                <w:szCs w:val="22"/>
              </w:rPr>
              <w:t>a</w:t>
            </w:r>
          </w:p>
        </w:tc>
        <w:tc>
          <w:tcPr>
            <w:tcW w:w="2250" w:type="dxa"/>
            <w:shd w:val="clear" w:color="auto" w:fill="auto"/>
          </w:tcPr>
          <w:p w14:paraId="7E8933E7" w14:textId="0A3DACD4" w:rsidR="00582E1E" w:rsidRPr="00374BCB" w:rsidRDefault="0029735B" w:rsidP="00CF0E09">
            <w:pPr>
              <w:rPr>
                <w:rFonts w:cs="Arial"/>
                <w:sz w:val="22"/>
                <w:szCs w:val="22"/>
              </w:rPr>
            </w:pPr>
            <w:r>
              <w:rPr>
                <w:rFonts w:cs="Arial"/>
                <w:sz w:val="22"/>
                <w:szCs w:val="22"/>
              </w:rPr>
              <w:t xml:space="preserve">EV </w:t>
            </w:r>
            <w:r w:rsidR="00582E1E" w:rsidRPr="00374BCB">
              <w:rPr>
                <w:rFonts w:cs="Arial"/>
                <w:sz w:val="22"/>
                <w:szCs w:val="22"/>
              </w:rPr>
              <w:t>Aggregator</w:t>
            </w:r>
          </w:p>
        </w:tc>
        <w:tc>
          <w:tcPr>
            <w:tcW w:w="5220" w:type="dxa"/>
            <w:shd w:val="clear" w:color="auto" w:fill="auto"/>
          </w:tcPr>
          <w:p w14:paraId="70992E7C" w14:textId="205165CF" w:rsidR="00582E1E" w:rsidRPr="00374BCB" w:rsidRDefault="00582E1E" w:rsidP="00C84783">
            <w:pPr>
              <w:rPr>
                <w:rFonts w:cs="Arial"/>
                <w:sz w:val="22"/>
                <w:szCs w:val="22"/>
              </w:rPr>
            </w:pPr>
            <w:r w:rsidRPr="00374BCB">
              <w:rPr>
                <w:rFonts w:cs="Arial"/>
                <w:sz w:val="22"/>
                <w:szCs w:val="22"/>
              </w:rPr>
              <w:t>Receives dynamic pricing signal</w:t>
            </w:r>
            <w:r w:rsidR="0029735B">
              <w:rPr>
                <w:rFonts w:cs="Arial"/>
                <w:sz w:val="22"/>
                <w:szCs w:val="22"/>
              </w:rPr>
              <w:t>. EV aggregator</w:t>
            </w:r>
            <w:r w:rsidRPr="00374BCB">
              <w:rPr>
                <w:rFonts w:cs="Arial"/>
                <w:sz w:val="22"/>
                <w:szCs w:val="22"/>
              </w:rPr>
              <w:t xml:space="preserve"> identifies </w:t>
            </w:r>
            <w:r w:rsidR="0029735B">
              <w:rPr>
                <w:rFonts w:cs="Arial"/>
                <w:sz w:val="22"/>
                <w:szCs w:val="22"/>
              </w:rPr>
              <w:t>or forecasts available PEV loads</w:t>
            </w:r>
            <w:r>
              <w:rPr>
                <w:rFonts w:cs="Arial"/>
                <w:sz w:val="22"/>
                <w:szCs w:val="22"/>
              </w:rPr>
              <w:t xml:space="preserve"> </w:t>
            </w:r>
            <w:r w:rsidRPr="00374BCB">
              <w:rPr>
                <w:rFonts w:cs="Arial"/>
                <w:sz w:val="22"/>
                <w:szCs w:val="22"/>
              </w:rPr>
              <w:t xml:space="preserve">and transmits signal to </w:t>
            </w:r>
            <w:r w:rsidR="0078584B">
              <w:rPr>
                <w:rFonts w:cs="Arial"/>
                <w:sz w:val="22"/>
                <w:szCs w:val="22"/>
              </w:rPr>
              <w:t xml:space="preserve">the </w:t>
            </w:r>
            <w:r w:rsidRPr="00374BCB">
              <w:rPr>
                <w:rFonts w:cs="Arial"/>
                <w:sz w:val="22"/>
                <w:szCs w:val="22"/>
              </w:rPr>
              <w:t>PEV either through the EVSE or directly to the PEV</w:t>
            </w:r>
            <w:r>
              <w:rPr>
                <w:rFonts w:cs="Arial"/>
                <w:sz w:val="22"/>
                <w:szCs w:val="22"/>
              </w:rPr>
              <w:t xml:space="preserve"> which can be through the OEM cloud server to the PEV via telematics.</w:t>
            </w:r>
          </w:p>
        </w:tc>
        <w:tc>
          <w:tcPr>
            <w:tcW w:w="3240" w:type="dxa"/>
            <w:shd w:val="clear" w:color="auto" w:fill="auto"/>
          </w:tcPr>
          <w:p w14:paraId="3F9937C5" w14:textId="205627AA" w:rsidR="00582E1E" w:rsidRPr="00374BCB" w:rsidRDefault="00582E1E" w:rsidP="00CF0E09">
            <w:pPr>
              <w:rPr>
                <w:rFonts w:cs="Arial"/>
                <w:sz w:val="22"/>
                <w:szCs w:val="22"/>
              </w:rPr>
            </w:pPr>
            <w:r w:rsidRPr="00374BCB">
              <w:rPr>
                <w:rFonts w:cs="Arial"/>
                <w:sz w:val="22"/>
                <w:szCs w:val="22"/>
              </w:rPr>
              <w:t xml:space="preserve">Requires </w:t>
            </w:r>
            <w:r w:rsidR="00C84783">
              <w:rPr>
                <w:rFonts w:cs="Arial"/>
                <w:sz w:val="22"/>
                <w:szCs w:val="22"/>
              </w:rPr>
              <w:t xml:space="preserve">prior </w:t>
            </w:r>
            <w:r w:rsidRPr="00374BCB">
              <w:rPr>
                <w:rFonts w:cs="Arial"/>
                <w:sz w:val="22"/>
                <w:szCs w:val="22"/>
              </w:rPr>
              <w:t>notification of dynamic pricing event to the Customer to exercise right to opt out. Customer preferences can be preset in the PEV such as price threshold</w:t>
            </w:r>
            <w:r w:rsidR="00C84783">
              <w:rPr>
                <w:rFonts w:cs="Arial"/>
                <w:sz w:val="22"/>
                <w:szCs w:val="22"/>
              </w:rPr>
              <w:t xml:space="preserve">. </w:t>
            </w:r>
          </w:p>
        </w:tc>
      </w:tr>
      <w:tr w:rsidR="0029735B" w14:paraId="74FA7099" w14:textId="77777777" w:rsidTr="00582E1E">
        <w:trPr>
          <w:trHeight w:val="1439"/>
        </w:trPr>
        <w:tc>
          <w:tcPr>
            <w:tcW w:w="990" w:type="dxa"/>
          </w:tcPr>
          <w:p w14:paraId="3C928DDF" w14:textId="46BE89DA" w:rsidR="0029735B" w:rsidRPr="00374BCB" w:rsidRDefault="0029735B" w:rsidP="00CF0E09">
            <w:pPr>
              <w:rPr>
                <w:rFonts w:cs="Arial"/>
                <w:sz w:val="22"/>
                <w:szCs w:val="22"/>
              </w:rPr>
            </w:pPr>
            <w:r>
              <w:rPr>
                <w:rFonts w:cs="Arial"/>
                <w:sz w:val="22"/>
                <w:szCs w:val="22"/>
              </w:rPr>
              <w:t>2b</w:t>
            </w:r>
          </w:p>
        </w:tc>
        <w:tc>
          <w:tcPr>
            <w:tcW w:w="2250" w:type="dxa"/>
            <w:shd w:val="clear" w:color="auto" w:fill="auto"/>
          </w:tcPr>
          <w:p w14:paraId="5D596C04" w14:textId="16BB5C2B" w:rsidR="0029735B" w:rsidRPr="00374BCB" w:rsidRDefault="0029735B" w:rsidP="00CF0E09">
            <w:pPr>
              <w:rPr>
                <w:rFonts w:cs="Arial"/>
                <w:sz w:val="22"/>
                <w:szCs w:val="22"/>
              </w:rPr>
            </w:pPr>
            <w:r>
              <w:rPr>
                <w:rFonts w:cs="Arial"/>
                <w:sz w:val="22"/>
                <w:szCs w:val="22"/>
              </w:rPr>
              <w:t>EVSE Aggregator</w:t>
            </w:r>
          </w:p>
        </w:tc>
        <w:tc>
          <w:tcPr>
            <w:tcW w:w="5220" w:type="dxa"/>
            <w:shd w:val="clear" w:color="auto" w:fill="auto"/>
          </w:tcPr>
          <w:p w14:paraId="4A91C4A5" w14:textId="4013C438" w:rsidR="0029735B" w:rsidRPr="00374BCB" w:rsidRDefault="0029735B" w:rsidP="0078584B">
            <w:pPr>
              <w:rPr>
                <w:rFonts w:cs="Arial"/>
                <w:sz w:val="22"/>
                <w:szCs w:val="22"/>
              </w:rPr>
            </w:pPr>
            <w:r w:rsidRPr="00374BCB">
              <w:rPr>
                <w:rFonts w:cs="Arial"/>
                <w:sz w:val="22"/>
                <w:szCs w:val="22"/>
              </w:rPr>
              <w:t>Receives dynamic pricing signal</w:t>
            </w:r>
            <w:r w:rsidR="0078584B">
              <w:rPr>
                <w:rFonts w:cs="Arial"/>
                <w:sz w:val="22"/>
                <w:szCs w:val="22"/>
              </w:rPr>
              <w:t>. A</w:t>
            </w:r>
            <w:r>
              <w:rPr>
                <w:rFonts w:cs="Arial"/>
                <w:sz w:val="22"/>
                <w:szCs w:val="22"/>
              </w:rPr>
              <w:t>ggregator</w:t>
            </w:r>
            <w:r w:rsidRPr="00374BCB">
              <w:rPr>
                <w:rFonts w:cs="Arial"/>
                <w:sz w:val="22"/>
                <w:szCs w:val="22"/>
              </w:rPr>
              <w:t xml:space="preserve"> </w:t>
            </w:r>
            <w:r>
              <w:rPr>
                <w:rFonts w:cs="Arial"/>
                <w:sz w:val="22"/>
                <w:szCs w:val="22"/>
              </w:rPr>
              <w:t xml:space="preserve">disseminates new pricing </w:t>
            </w:r>
            <w:r w:rsidR="00F271B4">
              <w:rPr>
                <w:rFonts w:cs="Arial"/>
                <w:sz w:val="22"/>
                <w:szCs w:val="22"/>
              </w:rPr>
              <w:t>to payment stations,</w:t>
            </w:r>
            <w:r>
              <w:rPr>
                <w:rFonts w:cs="Arial"/>
                <w:sz w:val="22"/>
                <w:szCs w:val="22"/>
              </w:rPr>
              <w:t xml:space="preserve"> </w:t>
            </w:r>
            <w:r w:rsidR="00F271B4">
              <w:rPr>
                <w:rFonts w:cs="Arial"/>
                <w:sz w:val="22"/>
                <w:szCs w:val="22"/>
              </w:rPr>
              <w:t>EVSEs, or driver</w:t>
            </w:r>
            <w:r>
              <w:rPr>
                <w:rFonts w:cs="Arial"/>
                <w:sz w:val="22"/>
                <w:szCs w:val="22"/>
              </w:rPr>
              <w:t xml:space="preserve"> (e.g.,</w:t>
            </w:r>
            <w:r w:rsidR="00F271B4">
              <w:rPr>
                <w:rFonts w:cs="Arial"/>
                <w:sz w:val="22"/>
                <w:szCs w:val="22"/>
              </w:rPr>
              <w:t xml:space="preserve"> enrolled customers</w:t>
            </w:r>
            <w:r>
              <w:rPr>
                <w:rFonts w:cs="Arial"/>
                <w:sz w:val="22"/>
                <w:szCs w:val="22"/>
              </w:rPr>
              <w:t xml:space="preserve"> via app</w:t>
            </w:r>
            <w:r w:rsidR="00F271B4">
              <w:rPr>
                <w:rFonts w:cs="Arial"/>
                <w:sz w:val="22"/>
                <w:szCs w:val="22"/>
              </w:rPr>
              <w:t xml:space="preserve"> or identified plugged in customers</w:t>
            </w:r>
            <w:r>
              <w:rPr>
                <w:rFonts w:cs="Arial"/>
                <w:sz w:val="22"/>
                <w:szCs w:val="22"/>
              </w:rPr>
              <w:t xml:space="preserve">). </w:t>
            </w:r>
          </w:p>
        </w:tc>
        <w:tc>
          <w:tcPr>
            <w:tcW w:w="3240" w:type="dxa"/>
            <w:shd w:val="clear" w:color="auto" w:fill="auto"/>
          </w:tcPr>
          <w:p w14:paraId="5531DD0F" w14:textId="55AE8498" w:rsidR="0029735B" w:rsidRPr="00374BCB" w:rsidRDefault="00C84783" w:rsidP="00C84783">
            <w:pPr>
              <w:rPr>
                <w:rFonts w:cs="Arial"/>
                <w:sz w:val="22"/>
                <w:szCs w:val="22"/>
              </w:rPr>
            </w:pPr>
            <w:r w:rsidRPr="00374BCB">
              <w:rPr>
                <w:rFonts w:cs="Arial"/>
                <w:sz w:val="22"/>
                <w:szCs w:val="22"/>
              </w:rPr>
              <w:t xml:space="preserve">Requires </w:t>
            </w:r>
            <w:r>
              <w:rPr>
                <w:rFonts w:cs="Arial"/>
                <w:sz w:val="22"/>
                <w:szCs w:val="22"/>
              </w:rPr>
              <w:t xml:space="preserve">prior </w:t>
            </w:r>
            <w:r w:rsidRPr="00374BCB">
              <w:rPr>
                <w:rFonts w:cs="Arial"/>
                <w:sz w:val="22"/>
                <w:szCs w:val="22"/>
              </w:rPr>
              <w:t xml:space="preserve">notification of dynamic pricing event to the </w:t>
            </w:r>
            <w:r>
              <w:rPr>
                <w:rFonts w:cs="Arial"/>
                <w:sz w:val="22"/>
                <w:szCs w:val="22"/>
              </w:rPr>
              <w:t>aggregator</w:t>
            </w:r>
            <w:r w:rsidRPr="00374BCB">
              <w:rPr>
                <w:rFonts w:cs="Arial"/>
                <w:sz w:val="22"/>
                <w:szCs w:val="22"/>
              </w:rPr>
              <w:t xml:space="preserve"> to </w:t>
            </w:r>
            <w:r>
              <w:rPr>
                <w:rFonts w:cs="Arial"/>
                <w:sz w:val="22"/>
                <w:szCs w:val="22"/>
              </w:rPr>
              <w:t>disseminate to customers</w:t>
            </w:r>
            <w:r w:rsidR="00F271B4">
              <w:rPr>
                <w:rFonts w:cs="Arial"/>
                <w:sz w:val="22"/>
                <w:szCs w:val="22"/>
              </w:rPr>
              <w:t>. New pricing may also be disseminated via a local management system (e.g., BMS/EVMS)</w:t>
            </w:r>
          </w:p>
        </w:tc>
      </w:tr>
      <w:tr w:rsidR="00582E1E" w14:paraId="5520DC64" w14:textId="77777777" w:rsidTr="00582E1E">
        <w:trPr>
          <w:trHeight w:val="1439"/>
        </w:trPr>
        <w:tc>
          <w:tcPr>
            <w:tcW w:w="990" w:type="dxa"/>
          </w:tcPr>
          <w:p w14:paraId="56FE366C" w14:textId="7EB41CCF" w:rsidR="00582E1E" w:rsidRPr="00374BCB" w:rsidRDefault="00582E1E" w:rsidP="00CF0E09">
            <w:pPr>
              <w:rPr>
                <w:rFonts w:cs="Arial"/>
                <w:sz w:val="22"/>
                <w:szCs w:val="22"/>
              </w:rPr>
            </w:pPr>
            <w:r w:rsidRPr="00374BCB">
              <w:rPr>
                <w:rFonts w:cs="Arial"/>
                <w:sz w:val="22"/>
                <w:szCs w:val="22"/>
              </w:rPr>
              <w:lastRenderedPageBreak/>
              <w:t>3</w:t>
            </w:r>
            <w:r w:rsidR="00F271B4">
              <w:rPr>
                <w:rFonts w:cs="Arial"/>
                <w:sz w:val="22"/>
                <w:szCs w:val="22"/>
              </w:rPr>
              <w:t>a</w:t>
            </w:r>
          </w:p>
        </w:tc>
        <w:tc>
          <w:tcPr>
            <w:tcW w:w="2250" w:type="dxa"/>
            <w:shd w:val="clear" w:color="auto" w:fill="auto"/>
          </w:tcPr>
          <w:p w14:paraId="717AA92B" w14:textId="77777777" w:rsidR="00582E1E" w:rsidRPr="00374BCB" w:rsidRDefault="00582E1E" w:rsidP="00CF0E09">
            <w:pPr>
              <w:rPr>
                <w:rFonts w:cs="Arial"/>
                <w:sz w:val="22"/>
                <w:szCs w:val="22"/>
              </w:rPr>
            </w:pPr>
            <w:r w:rsidRPr="00374BCB">
              <w:rPr>
                <w:rFonts w:cs="Arial"/>
                <w:sz w:val="22"/>
                <w:szCs w:val="22"/>
              </w:rPr>
              <w:t>PEV</w:t>
            </w:r>
          </w:p>
        </w:tc>
        <w:tc>
          <w:tcPr>
            <w:tcW w:w="5220" w:type="dxa"/>
            <w:shd w:val="clear" w:color="auto" w:fill="auto"/>
          </w:tcPr>
          <w:p w14:paraId="09B8D1F5" w14:textId="3684C99C" w:rsidR="00582E1E" w:rsidRPr="00374BCB" w:rsidRDefault="00582E1E" w:rsidP="00CF0E09">
            <w:pPr>
              <w:rPr>
                <w:rFonts w:cs="Arial"/>
                <w:sz w:val="22"/>
                <w:szCs w:val="22"/>
              </w:rPr>
            </w:pPr>
            <w:r w:rsidRPr="00374BCB">
              <w:rPr>
                <w:rFonts w:cs="Arial"/>
                <w:sz w:val="22"/>
                <w:szCs w:val="22"/>
              </w:rPr>
              <w:t>Receives the dynamic pricing signal from t</w:t>
            </w:r>
            <w:r w:rsidR="00C84783">
              <w:rPr>
                <w:rFonts w:cs="Arial"/>
                <w:sz w:val="22"/>
                <w:szCs w:val="22"/>
              </w:rPr>
              <w:t>he aggregator and curtails or schedules new</w:t>
            </w:r>
            <w:r w:rsidRPr="00374BCB">
              <w:rPr>
                <w:rFonts w:cs="Arial"/>
                <w:sz w:val="22"/>
                <w:szCs w:val="22"/>
              </w:rPr>
              <w:t xml:space="preserve"> charging based on customer preferences</w:t>
            </w:r>
          </w:p>
        </w:tc>
        <w:tc>
          <w:tcPr>
            <w:tcW w:w="3240" w:type="dxa"/>
            <w:shd w:val="clear" w:color="auto" w:fill="auto"/>
          </w:tcPr>
          <w:p w14:paraId="125B56E2" w14:textId="5CCB38B2" w:rsidR="00F271B4" w:rsidRPr="00374BCB" w:rsidRDefault="00582E1E" w:rsidP="00CF0E09">
            <w:pPr>
              <w:rPr>
                <w:rFonts w:cs="Arial"/>
                <w:sz w:val="22"/>
                <w:szCs w:val="22"/>
              </w:rPr>
            </w:pPr>
            <w:r w:rsidRPr="00374BCB">
              <w:rPr>
                <w:rFonts w:cs="Arial"/>
                <w:sz w:val="22"/>
                <w:szCs w:val="22"/>
              </w:rPr>
              <w:t>PEV, based on customer settings (price threshold, time charge is needed) can automatically opt in or opt out of event</w:t>
            </w:r>
          </w:p>
        </w:tc>
      </w:tr>
      <w:tr w:rsidR="00F271B4" w14:paraId="79611940" w14:textId="77777777" w:rsidTr="00582E1E">
        <w:trPr>
          <w:trHeight w:val="1439"/>
        </w:trPr>
        <w:tc>
          <w:tcPr>
            <w:tcW w:w="990" w:type="dxa"/>
          </w:tcPr>
          <w:p w14:paraId="7991D1E3" w14:textId="1D12A16D" w:rsidR="00F271B4" w:rsidRPr="00374BCB" w:rsidRDefault="00F271B4" w:rsidP="00CF0E09">
            <w:pPr>
              <w:rPr>
                <w:rFonts w:cs="Arial"/>
                <w:sz w:val="22"/>
                <w:szCs w:val="22"/>
              </w:rPr>
            </w:pPr>
            <w:r>
              <w:rPr>
                <w:rFonts w:cs="Arial"/>
                <w:sz w:val="22"/>
                <w:szCs w:val="22"/>
              </w:rPr>
              <w:t>3b</w:t>
            </w:r>
          </w:p>
        </w:tc>
        <w:tc>
          <w:tcPr>
            <w:tcW w:w="2250" w:type="dxa"/>
            <w:shd w:val="clear" w:color="auto" w:fill="auto"/>
          </w:tcPr>
          <w:p w14:paraId="6A2DF530" w14:textId="4BB29929" w:rsidR="00F271B4" w:rsidRPr="00374BCB" w:rsidRDefault="00F271B4" w:rsidP="00CF0E09">
            <w:pPr>
              <w:rPr>
                <w:rFonts w:cs="Arial"/>
                <w:sz w:val="22"/>
                <w:szCs w:val="22"/>
              </w:rPr>
            </w:pPr>
            <w:r>
              <w:rPr>
                <w:rFonts w:cs="Arial"/>
                <w:sz w:val="22"/>
                <w:szCs w:val="22"/>
              </w:rPr>
              <w:t>EVSE/Payment Station/Phone App</w:t>
            </w:r>
          </w:p>
        </w:tc>
        <w:tc>
          <w:tcPr>
            <w:tcW w:w="5220" w:type="dxa"/>
            <w:shd w:val="clear" w:color="auto" w:fill="auto"/>
          </w:tcPr>
          <w:p w14:paraId="002418DE" w14:textId="24605A5D" w:rsidR="00F271B4" w:rsidRPr="00374BCB" w:rsidRDefault="00235986" w:rsidP="00235986">
            <w:pPr>
              <w:rPr>
                <w:rFonts w:cs="Arial"/>
                <w:sz w:val="22"/>
                <w:szCs w:val="22"/>
              </w:rPr>
            </w:pPr>
            <w:r>
              <w:rPr>
                <w:rFonts w:cs="Arial"/>
                <w:sz w:val="22"/>
                <w:szCs w:val="22"/>
              </w:rPr>
              <w:t>Customer receives new pricing</w:t>
            </w:r>
            <w:r w:rsidR="00F271B4">
              <w:rPr>
                <w:rFonts w:cs="Arial"/>
                <w:sz w:val="22"/>
                <w:szCs w:val="22"/>
              </w:rPr>
              <w:t xml:space="preserve">. Customer makes charging decisions </w:t>
            </w:r>
            <w:r w:rsidR="00980C69">
              <w:rPr>
                <w:rFonts w:cs="Arial"/>
                <w:sz w:val="22"/>
                <w:szCs w:val="22"/>
              </w:rPr>
              <w:t>based on new prices.</w:t>
            </w:r>
          </w:p>
        </w:tc>
        <w:tc>
          <w:tcPr>
            <w:tcW w:w="3240" w:type="dxa"/>
            <w:shd w:val="clear" w:color="auto" w:fill="auto"/>
          </w:tcPr>
          <w:p w14:paraId="03DABBBE" w14:textId="4CAA143D" w:rsidR="00F271B4" w:rsidRPr="00374BCB" w:rsidRDefault="00F271B4" w:rsidP="00CF0E09">
            <w:pPr>
              <w:rPr>
                <w:rFonts w:cs="Arial"/>
                <w:sz w:val="22"/>
                <w:szCs w:val="22"/>
              </w:rPr>
            </w:pPr>
            <w:r>
              <w:rPr>
                <w:rFonts w:cs="Arial"/>
                <w:sz w:val="22"/>
                <w:szCs w:val="22"/>
              </w:rPr>
              <w:t xml:space="preserve">May require technologies allowing customers to be able to plug in and not charge or charge at a lower rate until the event begins. </w:t>
            </w:r>
          </w:p>
        </w:tc>
      </w:tr>
    </w:tbl>
    <w:p w14:paraId="274E5E98" w14:textId="77777777" w:rsidR="00582E1E" w:rsidRDefault="00582E1E" w:rsidP="00582E1E"/>
    <w:p w14:paraId="048FB800" w14:textId="036CE3D7" w:rsidR="00582E1E" w:rsidRPr="007644E1" w:rsidRDefault="00E17CA0" w:rsidP="00E17CA0">
      <w:pPr>
        <w:pStyle w:val="Heading1"/>
        <w:numPr>
          <w:ilvl w:val="0"/>
          <w:numId w:val="0"/>
        </w:numPr>
      </w:pPr>
      <w:bookmarkStart w:id="10" w:name="_Toc484168020"/>
      <w:r>
        <w:lastRenderedPageBreak/>
        <w:t>Scenario 2:</w:t>
      </w:r>
      <w:r w:rsidR="00582E1E" w:rsidRPr="007644E1">
        <w:t xml:space="preserve"> Demand Response</w:t>
      </w:r>
      <w:bookmarkEnd w:id="10"/>
      <w:r w:rsidR="00582E1E" w:rsidRPr="007644E1">
        <w:t xml:space="preserve"> </w:t>
      </w:r>
    </w:p>
    <w:p w14:paraId="1892961E" w14:textId="77777777" w:rsidR="00582E1E" w:rsidRDefault="00582E1E" w:rsidP="00582E1E"/>
    <w:tbl>
      <w:tblPr>
        <w:tblStyle w:val="TableGrid"/>
        <w:tblW w:w="8775" w:type="dxa"/>
        <w:tblInd w:w="-5" w:type="dxa"/>
        <w:tblLook w:val="04A0" w:firstRow="1" w:lastRow="0" w:firstColumn="1" w:lastColumn="0" w:noHBand="0" w:noVBand="1"/>
      </w:tblPr>
      <w:tblGrid>
        <w:gridCol w:w="2925"/>
        <w:gridCol w:w="2925"/>
        <w:gridCol w:w="2925"/>
      </w:tblGrid>
      <w:tr w:rsidR="00E17CA0" w14:paraId="2B1F8968" w14:textId="77777777" w:rsidTr="00E17CA0">
        <w:trPr>
          <w:trHeight w:val="629"/>
        </w:trPr>
        <w:tc>
          <w:tcPr>
            <w:tcW w:w="2925" w:type="dxa"/>
            <w:shd w:val="clear" w:color="auto" w:fill="E7E6E6" w:themeFill="background2"/>
            <w:vAlign w:val="center"/>
          </w:tcPr>
          <w:p w14:paraId="4A95C6A1" w14:textId="77777777" w:rsidR="00E17CA0" w:rsidRPr="001F3020" w:rsidRDefault="00E17CA0" w:rsidP="00CF0E09">
            <w:pPr>
              <w:jc w:val="center"/>
              <w:rPr>
                <w:b/>
                <w:bCs/>
              </w:rPr>
            </w:pPr>
            <w:r w:rsidRPr="001F3020">
              <w:rPr>
                <w:b/>
                <w:bCs/>
              </w:rPr>
              <w:t>Triggering Event</w:t>
            </w:r>
          </w:p>
        </w:tc>
        <w:tc>
          <w:tcPr>
            <w:tcW w:w="2925" w:type="dxa"/>
            <w:shd w:val="clear" w:color="auto" w:fill="E7E6E6" w:themeFill="background2"/>
            <w:vAlign w:val="center"/>
          </w:tcPr>
          <w:p w14:paraId="4FE3C1C6" w14:textId="77777777" w:rsidR="00E17CA0" w:rsidRPr="001F3020" w:rsidRDefault="00E17CA0" w:rsidP="00CF0E09">
            <w:pPr>
              <w:jc w:val="center"/>
              <w:rPr>
                <w:b/>
                <w:bCs/>
              </w:rPr>
            </w:pPr>
            <w:r w:rsidRPr="001F3020">
              <w:rPr>
                <w:b/>
                <w:bCs/>
              </w:rPr>
              <w:t>Pre-Condition</w:t>
            </w:r>
          </w:p>
        </w:tc>
        <w:tc>
          <w:tcPr>
            <w:tcW w:w="2925" w:type="dxa"/>
            <w:shd w:val="clear" w:color="auto" w:fill="E7E6E6" w:themeFill="background2"/>
            <w:vAlign w:val="center"/>
          </w:tcPr>
          <w:p w14:paraId="6F8DB9D8" w14:textId="77777777" w:rsidR="00E17CA0" w:rsidRPr="001F3020" w:rsidRDefault="00E17CA0" w:rsidP="00CF0E09">
            <w:pPr>
              <w:jc w:val="center"/>
              <w:rPr>
                <w:b/>
                <w:bCs/>
              </w:rPr>
            </w:pPr>
            <w:r w:rsidRPr="001F3020">
              <w:rPr>
                <w:b/>
                <w:bCs/>
              </w:rPr>
              <w:t>Post-Condition</w:t>
            </w:r>
          </w:p>
        </w:tc>
      </w:tr>
      <w:tr w:rsidR="00E17CA0" w14:paraId="11E048B6" w14:textId="77777777" w:rsidTr="00E17CA0">
        <w:trPr>
          <w:trHeight w:val="989"/>
        </w:trPr>
        <w:tc>
          <w:tcPr>
            <w:tcW w:w="2925" w:type="dxa"/>
          </w:tcPr>
          <w:p w14:paraId="0B8A852E" w14:textId="5DE5A42A" w:rsidR="00E17CA0" w:rsidRDefault="00E17CA0" w:rsidP="00CF0E09">
            <w:r>
              <w:rPr>
                <w:sz w:val="22"/>
                <w:szCs w:val="22"/>
              </w:rPr>
              <w:t>Utility or I</w:t>
            </w:r>
            <w:r w:rsidRPr="00374BCB">
              <w:rPr>
                <w:sz w:val="22"/>
                <w:szCs w:val="22"/>
              </w:rPr>
              <w:t xml:space="preserve">SO forecasts or observes an imbalance of load vs generation and transmits </w:t>
            </w:r>
            <w:r>
              <w:rPr>
                <w:sz w:val="22"/>
                <w:szCs w:val="22"/>
              </w:rPr>
              <w:t>demand response event notifications</w:t>
            </w:r>
          </w:p>
        </w:tc>
        <w:tc>
          <w:tcPr>
            <w:tcW w:w="2925" w:type="dxa"/>
            <w:shd w:val="clear" w:color="auto" w:fill="auto"/>
          </w:tcPr>
          <w:p w14:paraId="67C712D7" w14:textId="40E740CC" w:rsidR="00E17CA0" w:rsidRDefault="00E17CA0" w:rsidP="00CF0E09">
            <w:r>
              <w:rPr>
                <w:sz w:val="22"/>
                <w:szCs w:val="22"/>
              </w:rPr>
              <w:t xml:space="preserve">Utility or ISO to </w:t>
            </w:r>
            <w:r w:rsidRPr="00374BCB">
              <w:rPr>
                <w:sz w:val="22"/>
                <w:szCs w:val="22"/>
              </w:rPr>
              <w:t>Aggregator/Customer Program contracts are in place.</w:t>
            </w:r>
          </w:p>
        </w:tc>
        <w:tc>
          <w:tcPr>
            <w:tcW w:w="2925" w:type="dxa"/>
            <w:shd w:val="clear" w:color="auto" w:fill="auto"/>
          </w:tcPr>
          <w:p w14:paraId="5B2ABEA3" w14:textId="3E05CBDD" w:rsidR="00E17CA0" w:rsidRDefault="00E17CA0" w:rsidP="00CF0E09">
            <w:r>
              <w:rPr>
                <w:sz w:val="22"/>
                <w:szCs w:val="22"/>
              </w:rPr>
              <w:t>Desired balance between load and supply has been restored and the pricing event has been concluded.</w:t>
            </w:r>
          </w:p>
        </w:tc>
      </w:tr>
    </w:tbl>
    <w:p w14:paraId="64522B42" w14:textId="77777777" w:rsidR="00582E1E" w:rsidRDefault="00582E1E" w:rsidP="00582E1E"/>
    <w:p w14:paraId="5701811D" w14:textId="77777777" w:rsidR="00582E1E" w:rsidRPr="001F3020" w:rsidRDefault="00582E1E" w:rsidP="00582E1E"/>
    <w:tbl>
      <w:tblPr>
        <w:tblStyle w:val="TableGrid"/>
        <w:tblW w:w="11700" w:type="dxa"/>
        <w:tblInd w:w="-5" w:type="dxa"/>
        <w:tblLook w:val="04A0" w:firstRow="1" w:lastRow="0" w:firstColumn="1" w:lastColumn="0" w:noHBand="0" w:noVBand="1"/>
      </w:tblPr>
      <w:tblGrid>
        <w:gridCol w:w="720"/>
        <w:gridCol w:w="2610"/>
        <w:gridCol w:w="4770"/>
        <w:gridCol w:w="3600"/>
      </w:tblGrid>
      <w:tr w:rsidR="00582E1E" w14:paraId="63F0FA1A" w14:textId="77777777" w:rsidTr="00F271B4">
        <w:trPr>
          <w:trHeight w:val="629"/>
        </w:trPr>
        <w:tc>
          <w:tcPr>
            <w:tcW w:w="720" w:type="dxa"/>
            <w:shd w:val="clear" w:color="auto" w:fill="E7E6E6" w:themeFill="background2"/>
            <w:vAlign w:val="center"/>
          </w:tcPr>
          <w:p w14:paraId="6FC30DB9" w14:textId="77777777" w:rsidR="00582E1E" w:rsidRPr="001F3020" w:rsidRDefault="00582E1E" w:rsidP="00CF0E09">
            <w:pPr>
              <w:jc w:val="center"/>
              <w:rPr>
                <w:b/>
                <w:bCs/>
              </w:rPr>
            </w:pPr>
            <w:r>
              <w:rPr>
                <w:b/>
                <w:bCs/>
              </w:rPr>
              <w:t>Step #</w:t>
            </w:r>
          </w:p>
        </w:tc>
        <w:tc>
          <w:tcPr>
            <w:tcW w:w="2610" w:type="dxa"/>
            <w:shd w:val="clear" w:color="auto" w:fill="E7E6E6" w:themeFill="background2"/>
            <w:vAlign w:val="center"/>
          </w:tcPr>
          <w:p w14:paraId="28F26A65" w14:textId="77777777" w:rsidR="00582E1E" w:rsidRPr="001F3020" w:rsidRDefault="00582E1E" w:rsidP="00CF0E09">
            <w:pPr>
              <w:jc w:val="center"/>
              <w:rPr>
                <w:b/>
                <w:bCs/>
              </w:rPr>
            </w:pPr>
            <w:r>
              <w:rPr>
                <w:b/>
                <w:bCs/>
              </w:rPr>
              <w:t>Actor</w:t>
            </w:r>
          </w:p>
        </w:tc>
        <w:tc>
          <w:tcPr>
            <w:tcW w:w="4770" w:type="dxa"/>
            <w:shd w:val="clear" w:color="auto" w:fill="E7E6E6" w:themeFill="background2"/>
            <w:vAlign w:val="center"/>
          </w:tcPr>
          <w:p w14:paraId="76E865A7" w14:textId="77777777" w:rsidR="00582E1E" w:rsidRPr="001F3020" w:rsidRDefault="00582E1E" w:rsidP="00CF0E09">
            <w:pPr>
              <w:jc w:val="center"/>
              <w:rPr>
                <w:b/>
                <w:bCs/>
              </w:rPr>
            </w:pPr>
            <w:r>
              <w:rPr>
                <w:b/>
                <w:bCs/>
              </w:rPr>
              <w:t>Description of the Step</w:t>
            </w:r>
          </w:p>
        </w:tc>
        <w:tc>
          <w:tcPr>
            <w:tcW w:w="3600" w:type="dxa"/>
            <w:shd w:val="clear" w:color="auto" w:fill="E7E6E6" w:themeFill="background2"/>
            <w:vAlign w:val="center"/>
          </w:tcPr>
          <w:p w14:paraId="4C90A404" w14:textId="77777777" w:rsidR="00582E1E" w:rsidRPr="001F3020" w:rsidRDefault="00582E1E" w:rsidP="00CF0E09">
            <w:pPr>
              <w:jc w:val="center"/>
              <w:rPr>
                <w:b/>
                <w:bCs/>
              </w:rPr>
            </w:pPr>
            <w:r>
              <w:rPr>
                <w:b/>
                <w:bCs/>
              </w:rPr>
              <w:t>Additional Notes</w:t>
            </w:r>
          </w:p>
        </w:tc>
      </w:tr>
      <w:tr w:rsidR="00582E1E" w14:paraId="7BAF0917" w14:textId="77777777" w:rsidTr="00F271B4">
        <w:trPr>
          <w:trHeight w:val="1934"/>
        </w:trPr>
        <w:tc>
          <w:tcPr>
            <w:tcW w:w="720" w:type="dxa"/>
          </w:tcPr>
          <w:p w14:paraId="2EB7B0AE" w14:textId="77777777" w:rsidR="00582E1E" w:rsidRPr="00374BCB" w:rsidRDefault="00582E1E" w:rsidP="00CF0E09">
            <w:pPr>
              <w:rPr>
                <w:rFonts w:cs="Arial"/>
                <w:sz w:val="22"/>
                <w:szCs w:val="22"/>
              </w:rPr>
            </w:pPr>
            <w:r w:rsidRPr="00374BCB">
              <w:rPr>
                <w:rFonts w:cs="Arial"/>
                <w:sz w:val="22"/>
                <w:szCs w:val="22"/>
              </w:rPr>
              <w:t>1</w:t>
            </w:r>
          </w:p>
        </w:tc>
        <w:tc>
          <w:tcPr>
            <w:tcW w:w="2610" w:type="dxa"/>
          </w:tcPr>
          <w:p w14:paraId="5801D901" w14:textId="77777777" w:rsidR="00582E1E" w:rsidRPr="00374BCB" w:rsidRDefault="00582E1E" w:rsidP="00CF0E09">
            <w:pPr>
              <w:rPr>
                <w:rFonts w:cs="Arial"/>
                <w:sz w:val="22"/>
                <w:szCs w:val="22"/>
              </w:rPr>
            </w:pPr>
            <w:r w:rsidRPr="00374BCB">
              <w:rPr>
                <w:rFonts w:cs="Arial"/>
                <w:sz w:val="22"/>
                <w:szCs w:val="22"/>
              </w:rPr>
              <w:t>Utility</w:t>
            </w:r>
            <w:r>
              <w:rPr>
                <w:rFonts w:cs="Arial"/>
                <w:sz w:val="22"/>
                <w:szCs w:val="22"/>
              </w:rPr>
              <w:t xml:space="preserve"> / ISO</w:t>
            </w:r>
          </w:p>
        </w:tc>
        <w:tc>
          <w:tcPr>
            <w:tcW w:w="4770" w:type="dxa"/>
          </w:tcPr>
          <w:p w14:paraId="59EED460" w14:textId="77777777" w:rsidR="00582E1E" w:rsidRPr="00374BCB" w:rsidRDefault="00582E1E" w:rsidP="00CF0E09">
            <w:pPr>
              <w:rPr>
                <w:rFonts w:cs="Arial"/>
                <w:sz w:val="22"/>
                <w:szCs w:val="22"/>
              </w:rPr>
            </w:pPr>
            <w:r w:rsidRPr="00374BCB">
              <w:rPr>
                <w:rFonts w:cs="Arial"/>
                <w:sz w:val="22"/>
                <w:szCs w:val="22"/>
              </w:rPr>
              <w:t>Observes or projects an imbalance of load vs generation</w:t>
            </w:r>
            <w:r>
              <w:rPr>
                <w:rFonts w:cs="Arial"/>
                <w:sz w:val="22"/>
                <w:szCs w:val="22"/>
              </w:rPr>
              <w:t>, determines</w:t>
            </w:r>
            <w:r w:rsidRPr="00374BCB">
              <w:rPr>
                <w:rFonts w:cs="Arial"/>
                <w:sz w:val="22"/>
                <w:szCs w:val="22"/>
              </w:rPr>
              <w:t xml:space="preserve"> and transmits </w:t>
            </w:r>
            <w:r>
              <w:rPr>
                <w:rFonts w:cs="Arial"/>
                <w:sz w:val="22"/>
                <w:szCs w:val="22"/>
              </w:rPr>
              <w:t>demand response</w:t>
            </w:r>
            <w:r w:rsidRPr="00374BCB">
              <w:rPr>
                <w:rFonts w:cs="Arial"/>
                <w:sz w:val="22"/>
                <w:szCs w:val="22"/>
              </w:rPr>
              <w:t xml:space="preserve"> signal utilizing utility industry applied communications protocol (OpenADR or IEEE2030.5) to the designated aggregators</w:t>
            </w:r>
            <w:r>
              <w:rPr>
                <w:rFonts w:cs="Arial"/>
                <w:sz w:val="22"/>
                <w:szCs w:val="22"/>
              </w:rPr>
              <w:t>. Signals can be region specific such as by SubLAP or Feeder</w:t>
            </w:r>
          </w:p>
        </w:tc>
        <w:tc>
          <w:tcPr>
            <w:tcW w:w="3600" w:type="dxa"/>
          </w:tcPr>
          <w:p w14:paraId="33FC9363" w14:textId="7F6AADAE" w:rsidR="00582E1E" w:rsidRPr="00374BCB" w:rsidRDefault="00582E1E" w:rsidP="00CF0E09">
            <w:pPr>
              <w:rPr>
                <w:rFonts w:cs="Arial"/>
                <w:sz w:val="22"/>
                <w:szCs w:val="22"/>
              </w:rPr>
            </w:pPr>
            <w:r w:rsidRPr="00374BCB">
              <w:rPr>
                <w:rFonts w:cs="Arial"/>
                <w:sz w:val="22"/>
                <w:szCs w:val="22"/>
              </w:rPr>
              <w:t>Signals can be day ahead or an hour ahead notifications</w:t>
            </w:r>
            <w:r>
              <w:rPr>
                <w:rFonts w:cs="Arial"/>
                <w:sz w:val="22"/>
                <w:szCs w:val="22"/>
              </w:rPr>
              <w:t xml:space="preserve">. ISO or Schedule Coordinator transmission protocols may be other than Utility industry adopted protocol standards. </w:t>
            </w:r>
          </w:p>
        </w:tc>
      </w:tr>
      <w:tr w:rsidR="00582E1E" w14:paraId="036F95C9" w14:textId="77777777" w:rsidTr="00F271B4">
        <w:trPr>
          <w:trHeight w:val="1916"/>
        </w:trPr>
        <w:tc>
          <w:tcPr>
            <w:tcW w:w="720" w:type="dxa"/>
          </w:tcPr>
          <w:p w14:paraId="04FCA62E" w14:textId="60B2CAA9" w:rsidR="00582E1E" w:rsidRPr="00374BCB" w:rsidRDefault="00582E1E" w:rsidP="00CF0E09">
            <w:pPr>
              <w:rPr>
                <w:rFonts w:cs="Arial"/>
                <w:sz w:val="22"/>
                <w:szCs w:val="22"/>
              </w:rPr>
            </w:pPr>
            <w:bookmarkStart w:id="11" w:name="_Hlk484145908"/>
            <w:r w:rsidRPr="00374BCB">
              <w:rPr>
                <w:rFonts w:cs="Arial"/>
                <w:sz w:val="22"/>
                <w:szCs w:val="22"/>
              </w:rPr>
              <w:t>2</w:t>
            </w:r>
            <w:r w:rsidR="00980C69">
              <w:rPr>
                <w:rFonts w:cs="Arial"/>
                <w:sz w:val="22"/>
                <w:szCs w:val="22"/>
              </w:rPr>
              <w:t>a</w:t>
            </w:r>
          </w:p>
        </w:tc>
        <w:tc>
          <w:tcPr>
            <w:tcW w:w="2610" w:type="dxa"/>
          </w:tcPr>
          <w:p w14:paraId="6B7FD8B2" w14:textId="4A6DC4FD" w:rsidR="00582E1E" w:rsidRPr="00374BCB" w:rsidRDefault="00980C69" w:rsidP="00CF0E09">
            <w:pPr>
              <w:rPr>
                <w:rFonts w:cs="Arial"/>
                <w:sz w:val="22"/>
                <w:szCs w:val="22"/>
              </w:rPr>
            </w:pPr>
            <w:r>
              <w:rPr>
                <w:rFonts w:cs="Arial"/>
                <w:sz w:val="22"/>
                <w:szCs w:val="22"/>
              </w:rPr>
              <w:t xml:space="preserve">EV </w:t>
            </w:r>
            <w:r w:rsidR="00582E1E" w:rsidRPr="00374BCB">
              <w:rPr>
                <w:rFonts w:cs="Arial"/>
                <w:sz w:val="22"/>
                <w:szCs w:val="22"/>
              </w:rPr>
              <w:t>Aggregator</w:t>
            </w:r>
          </w:p>
        </w:tc>
        <w:tc>
          <w:tcPr>
            <w:tcW w:w="4770" w:type="dxa"/>
          </w:tcPr>
          <w:p w14:paraId="22A92864" w14:textId="528B75E2" w:rsidR="00582E1E" w:rsidRPr="00374BCB" w:rsidRDefault="00582E1E" w:rsidP="00E17CA0">
            <w:pPr>
              <w:rPr>
                <w:rFonts w:cs="Arial"/>
                <w:sz w:val="22"/>
                <w:szCs w:val="22"/>
              </w:rPr>
            </w:pPr>
            <w:r w:rsidRPr="00374BCB">
              <w:rPr>
                <w:rFonts w:cs="Arial"/>
                <w:sz w:val="22"/>
                <w:szCs w:val="22"/>
              </w:rPr>
              <w:t xml:space="preserve">Receives </w:t>
            </w:r>
            <w:r w:rsidR="00E17CA0">
              <w:rPr>
                <w:rFonts w:cs="Arial"/>
                <w:sz w:val="22"/>
                <w:szCs w:val="22"/>
              </w:rPr>
              <w:t>DR</w:t>
            </w:r>
            <w:r w:rsidRPr="00374BCB">
              <w:rPr>
                <w:rFonts w:cs="Arial"/>
                <w:sz w:val="22"/>
                <w:szCs w:val="22"/>
              </w:rPr>
              <w:t xml:space="preserve"> signal from the utility</w:t>
            </w:r>
            <w:r>
              <w:rPr>
                <w:rFonts w:cs="Arial"/>
                <w:sz w:val="22"/>
                <w:szCs w:val="22"/>
              </w:rPr>
              <w:t>, ISO or Schedule Coordinator</w:t>
            </w:r>
            <w:r w:rsidRPr="00374BCB">
              <w:rPr>
                <w:rFonts w:cs="Arial"/>
                <w:sz w:val="22"/>
                <w:szCs w:val="22"/>
              </w:rPr>
              <w:t xml:space="preserve">, identifies </w:t>
            </w:r>
            <w:r w:rsidR="00E17CA0">
              <w:rPr>
                <w:rFonts w:cs="Arial"/>
                <w:sz w:val="22"/>
                <w:szCs w:val="22"/>
              </w:rPr>
              <w:t xml:space="preserve">or forecast </w:t>
            </w:r>
            <w:r w:rsidRPr="00374BCB">
              <w:rPr>
                <w:rFonts w:cs="Arial"/>
                <w:sz w:val="22"/>
                <w:szCs w:val="22"/>
              </w:rPr>
              <w:t>plugged in PEVs</w:t>
            </w:r>
            <w:r>
              <w:rPr>
                <w:rFonts w:cs="Arial"/>
                <w:sz w:val="22"/>
                <w:szCs w:val="22"/>
              </w:rPr>
              <w:t xml:space="preserve"> per designated region </w:t>
            </w:r>
            <w:r w:rsidRPr="00374BCB">
              <w:rPr>
                <w:rFonts w:cs="Arial"/>
                <w:sz w:val="22"/>
                <w:szCs w:val="22"/>
              </w:rPr>
              <w:t>and transmits signal to PEV either through the EVSE or directly to the PEV</w:t>
            </w:r>
            <w:r>
              <w:rPr>
                <w:rFonts w:cs="Arial"/>
                <w:sz w:val="22"/>
                <w:szCs w:val="22"/>
              </w:rPr>
              <w:t xml:space="preserve"> which can be through the OEM cloud server to the PEV via telematics.</w:t>
            </w:r>
          </w:p>
        </w:tc>
        <w:tc>
          <w:tcPr>
            <w:tcW w:w="3600" w:type="dxa"/>
          </w:tcPr>
          <w:p w14:paraId="4E7F4464" w14:textId="77777777" w:rsidR="00582E1E" w:rsidRPr="00374BCB" w:rsidRDefault="00582E1E" w:rsidP="00CF0E09">
            <w:pPr>
              <w:rPr>
                <w:rFonts w:cs="Arial"/>
                <w:sz w:val="22"/>
                <w:szCs w:val="22"/>
              </w:rPr>
            </w:pPr>
            <w:r w:rsidRPr="00374BCB">
              <w:rPr>
                <w:rFonts w:cs="Arial"/>
                <w:sz w:val="22"/>
                <w:szCs w:val="22"/>
              </w:rPr>
              <w:t xml:space="preserve">Requires notification of </w:t>
            </w:r>
            <w:r>
              <w:rPr>
                <w:rFonts w:cs="Arial"/>
                <w:sz w:val="22"/>
                <w:szCs w:val="22"/>
              </w:rPr>
              <w:t>demand response</w:t>
            </w:r>
            <w:r w:rsidRPr="00374BCB">
              <w:rPr>
                <w:rFonts w:cs="Arial"/>
                <w:sz w:val="22"/>
                <w:szCs w:val="22"/>
              </w:rPr>
              <w:t xml:space="preserve"> event to the Customer to exercise right to opt out. Customer preferences can be preset in the PE</w:t>
            </w:r>
            <w:r>
              <w:rPr>
                <w:rFonts w:cs="Arial"/>
                <w:sz w:val="22"/>
                <w:szCs w:val="22"/>
              </w:rPr>
              <w:t>V</w:t>
            </w:r>
          </w:p>
        </w:tc>
      </w:tr>
      <w:tr w:rsidR="00980C69" w14:paraId="6A089DBF" w14:textId="77777777" w:rsidTr="00F271B4">
        <w:trPr>
          <w:trHeight w:val="1439"/>
        </w:trPr>
        <w:tc>
          <w:tcPr>
            <w:tcW w:w="720" w:type="dxa"/>
          </w:tcPr>
          <w:p w14:paraId="39CF8BA7" w14:textId="6260EA60" w:rsidR="00980C69" w:rsidRDefault="00980C69" w:rsidP="00CF0E09">
            <w:pPr>
              <w:rPr>
                <w:rFonts w:cs="Arial"/>
                <w:sz w:val="22"/>
                <w:szCs w:val="22"/>
              </w:rPr>
            </w:pPr>
            <w:r>
              <w:rPr>
                <w:rFonts w:cs="Arial"/>
                <w:sz w:val="22"/>
                <w:szCs w:val="22"/>
              </w:rPr>
              <w:lastRenderedPageBreak/>
              <w:t>2b</w:t>
            </w:r>
          </w:p>
        </w:tc>
        <w:tc>
          <w:tcPr>
            <w:tcW w:w="2610" w:type="dxa"/>
          </w:tcPr>
          <w:p w14:paraId="6A2D4F78" w14:textId="67988CDD" w:rsidR="00980C69" w:rsidRDefault="00980C69" w:rsidP="00CF0E09">
            <w:pPr>
              <w:rPr>
                <w:rFonts w:cs="Arial"/>
                <w:sz w:val="22"/>
                <w:szCs w:val="22"/>
              </w:rPr>
            </w:pPr>
            <w:r>
              <w:rPr>
                <w:rFonts w:cs="Arial"/>
                <w:sz w:val="22"/>
                <w:szCs w:val="22"/>
              </w:rPr>
              <w:t>EVSE Aggregator</w:t>
            </w:r>
          </w:p>
        </w:tc>
        <w:tc>
          <w:tcPr>
            <w:tcW w:w="4770" w:type="dxa"/>
          </w:tcPr>
          <w:p w14:paraId="674EAB92" w14:textId="7309E965" w:rsidR="00980C69" w:rsidRPr="00980C69" w:rsidRDefault="00E17CA0" w:rsidP="00E17CA0">
            <w:pPr>
              <w:rPr>
                <w:rFonts w:cs="Arial"/>
                <w:b/>
                <w:sz w:val="22"/>
                <w:szCs w:val="22"/>
              </w:rPr>
            </w:pPr>
            <w:r w:rsidRPr="00374BCB">
              <w:rPr>
                <w:rFonts w:cs="Arial"/>
                <w:sz w:val="22"/>
                <w:szCs w:val="22"/>
              </w:rPr>
              <w:t xml:space="preserve">Receives </w:t>
            </w:r>
            <w:r>
              <w:rPr>
                <w:rFonts w:cs="Arial"/>
                <w:sz w:val="22"/>
                <w:szCs w:val="22"/>
              </w:rPr>
              <w:t>DR</w:t>
            </w:r>
            <w:r w:rsidRPr="00374BCB">
              <w:rPr>
                <w:rFonts w:cs="Arial"/>
                <w:sz w:val="22"/>
                <w:szCs w:val="22"/>
              </w:rPr>
              <w:t xml:space="preserve"> signal</w:t>
            </w:r>
            <w:r>
              <w:rPr>
                <w:rFonts w:cs="Arial"/>
                <w:sz w:val="22"/>
                <w:szCs w:val="22"/>
              </w:rPr>
              <w:t>. Aggregator curtails or limits EV charging until the event occurs.</w:t>
            </w:r>
          </w:p>
        </w:tc>
        <w:tc>
          <w:tcPr>
            <w:tcW w:w="3600" w:type="dxa"/>
          </w:tcPr>
          <w:p w14:paraId="5018FF57" w14:textId="3812AF17" w:rsidR="00980C69" w:rsidRPr="00374BCB" w:rsidRDefault="00E17CA0" w:rsidP="00CF0E09">
            <w:pPr>
              <w:rPr>
                <w:rFonts w:cs="Arial"/>
                <w:sz w:val="22"/>
                <w:szCs w:val="22"/>
              </w:rPr>
            </w:pPr>
            <w:r>
              <w:rPr>
                <w:rFonts w:cs="Arial"/>
                <w:sz w:val="22"/>
                <w:szCs w:val="22"/>
              </w:rPr>
              <w:t>This may be done by managing energy/time costs related to charging. Also dependent on customer choosing to opt-in or opt-out.</w:t>
            </w:r>
          </w:p>
        </w:tc>
      </w:tr>
      <w:tr w:rsidR="00F271B4" w14:paraId="39BBACAE" w14:textId="77777777" w:rsidTr="00F271B4">
        <w:trPr>
          <w:trHeight w:val="1439"/>
        </w:trPr>
        <w:tc>
          <w:tcPr>
            <w:tcW w:w="720" w:type="dxa"/>
          </w:tcPr>
          <w:p w14:paraId="1A239F47" w14:textId="77777777" w:rsidR="00F271B4" w:rsidRDefault="00F271B4" w:rsidP="00CF0E09">
            <w:pPr>
              <w:rPr>
                <w:rFonts w:cs="Arial"/>
                <w:sz w:val="22"/>
                <w:szCs w:val="22"/>
              </w:rPr>
            </w:pPr>
            <w:r>
              <w:rPr>
                <w:rFonts w:cs="Arial"/>
                <w:sz w:val="22"/>
                <w:szCs w:val="22"/>
              </w:rPr>
              <w:t>2c</w:t>
            </w:r>
          </w:p>
        </w:tc>
        <w:tc>
          <w:tcPr>
            <w:tcW w:w="2610" w:type="dxa"/>
          </w:tcPr>
          <w:p w14:paraId="63A22E1F" w14:textId="77777777" w:rsidR="00F271B4" w:rsidRDefault="00F271B4" w:rsidP="00CF0E09">
            <w:pPr>
              <w:rPr>
                <w:rFonts w:cs="Arial"/>
                <w:sz w:val="22"/>
                <w:szCs w:val="22"/>
              </w:rPr>
            </w:pPr>
            <w:r>
              <w:rPr>
                <w:rFonts w:cs="Arial"/>
                <w:sz w:val="22"/>
                <w:szCs w:val="22"/>
              </w:rPr>
              <w:t>Management System</w:t>
            </w:r>
          </w:p>
        </w:tc>
        <w:tc>
          <w:tcPr>
            <w:tcW w:w="4770" w:type="dxa"/>
          </w:tcPr>
          <w:p w14:paraId="5FD05877" w14:textId="457223FB" w:rsidR="00F271B4" w:rsidRPr="00374BCB" w:rsidRDefault="00E17CA0" w:rsidP="00E17CA0">
            <w:pPr>
              <w:rPr>
                <w:rFonts w:cs="Arial"/>
                <w:sz w:val="22"/>
                <w:szCs w:val="22"/>
              </w:rPr>
            </w:pPr>
            <w:r>
              <w:rPr>
                <w:rFonts w:cs="Arial"/>
                <w:sz w:val="22"/>
                <w:szCs w:val="22"/>
              </w:rPr>
              <w:t>Receives DR signal fro</w:t>
            </w:r>
            <w:r w:rsidR="00F271B4">
              <w:rPr>
                <w:rFonts w:cs="Arial"/>
                <w:sz w:val="22"/>
                <w:szCs w:val="22"/>
              </w:rPr>
              <w:t xml:space="preserve">m the operator and based on pre-determined settings or site host interaction </w:t>
            </w:r>
            <w:r>
              <w:rPr>
                <w:rFonts w:cs="Arial"/>
                <w:sz w:val="22"/>
                <w:szCs w:val="22"/>
              </w:rPr>
              <w:t>manages charging.</w:t>
            </w:r>
          </w:p>
        </w:tc>
        <w:tc>
          <w:tcPr>
            <w:tcW w:w="3600" w:type="dxa"/>
          </w:tcPr>
          <w:p w14:paraId="56DEBB13" w14:textId="10B8A817" w:rsidR="00F271B4" w:rsidRPr="00374BCB" w:rsidRDefault="00E17CA0" w:rsidP="00CF0E09">
            <w:pPr>
              <w:rPr>
                <w:rFonts w:cs="Arial"/>
                <w:sz w:val="22"/>
                <w:szCs w:val="22"/>
              </w:rPr>
            </w:pPr>
            <w:r>
              <w:rPr>
                <w:rFonts w:cs="Arial"/>
                <w:sz w:val="22"/>
                <w:szCs w:val="22"/>
              </w:rPr>
              <w:t>The site host may opt in/out as allowed or may allow customers to determine participation. This may be done by managing energy/time costs related to charging.</w:t>
            </w:r>
          </w:p>
        </w:tc>
      </w:tr>
      <w:tr w:rsidR="00582E1E" w14:paraId="1F3AF577" w14:textId="77777777" w:rsidTr="00F271B4">
        <w:trPr>
          <w:trHeight w:val="1439"/>
        </w:trPr>
        <w:tc>
          <w:tcPr>
            <w:tcW w:w="720" w:type="dxa"/>
          </w:tcPr>
          <w:p w14:paraId="6AD1F13F" w14:textId="291DDFF3" w:rsidR="00582E1E" w:rsidRPr="00374BCB" w:rsidRDefault="00582E1E" w:rsidP="00CF0E09">
            <w:pPr>
              <w:rPr>
                <w:rFonts w:cs="Arial"/>
                <w:sz w:val="22"/>
                <w:szCs w:val="22"/>
              </w:rPr>
            </w:pPr>
            <w:bookmarkStart w:id="12" w:name="_Hlk484146553"/>
            <w:bookmarkEnd w:id="11"/>
            <w:r w:rsidRPr="00374BCB">
              <w:rPr>
                <w:rFonts w:cs="Arial"/>
                <w:sz w:val="22"/>
                <w:szCs w:val="22"/>
              </w:rPr>
              <w:t>3</w:t>
            </w:r>
            <w:r w:rsidR="00235986">
              <w:rPr>
                <w:rFonts w:cs="Arial"/>
                <w:sz w:val="22"/>
                <w:szCs w:val="22"/>
              </w:rPr>
              <w:t>a</w:t>
            </w:r>
          </w:p>
        </w:tc>
        <w:tc>
          <w:tcPr>
            <w:tcW w:w="2610" w:type="dxa"/>
          </w:tcPr>
          <w:p w14:paraId="1320E4B1" w14:textId="77777777" w:rsidR="00582E1E" w:rsidRPr="00374BCB" w:rsidRDefault="00582E1E" w:rsidP="00CF0E09">
            <w:pPr>
              <w:rPr>
                <w:rFonts w:cs="Arial"/>
                <w:sz w:val="22"/>
                <w:szCs w:val="22"/>
              </w:rPr>
            </w:pPr>
            <w:r w:rsidRPr="00374BCB">
              <w:rPr>
                <w:rFonts w:cs="Arial"/>
                <w:sz w:val="22"/>
                <w:szCs w:val="22"/>
              </w:rPr>
              <w:t>PEV</w:t>
            </w:r>
          </w:p>
        </w:tc>
        <w:tc>
          <w:tcPr>
            <w:tcW w:w="4770" w:type="dxa"/>
          </w:tcPr>
          <w:p w14:paraId="6FF215DE" w14:textId="35871358" w:rsidR="00582E1E" w:rsidRPr="00374BCB" w:rsidRDefault="00582E1E" w:rsidP="00CF0E09">
            <w:pPr>
              <w:rPr>
                <w:rFonts w:cs="Arial"/>
                <w:sz w:val="22"/>
                <w:szCs w:val="22"/>
              </w:rPr>
            </w:pPr>
            <w:r w:rsidRPr="00374BCB">
              <w:rPr>
                <w:rFonts w:cs="Arial"/>
                <w:sz w:val="22"/>
                <w:szCs w:val="22"/>
              </w:rPr>
              <w:t xml:space="preserve">Receives the </w:t>
            </w:r>
            <w:r>
              <w:rPr>
                <w:rFonts w:cs="Arial"/>
                <w:sz w:val="22"/>
                <w:szCs w:val="22"/>
              </w:rPr>
              <w:t>demand response</w:t>
            </w:r>
            <w:r w:rsidRPr="00374BCB">
              <w:rPr>
                <w:rFonts w:cs="Arial"/>
                <w:sz w:val="22"/>
                <w:szCs w:val="22"/>
              </w:rPr>
              <w:t xml:space="preserve"> signal from the aggregator and curtails/stops</w:t>
            </w:r>
            <w:r w:rsidR="00235986">
              <w:rPr>
                <w:rFonts w:cs="Arial"/>
                <w:sz w:val="22"/>
                <w:szCs w:val="22"/>
              </w:rPr>
              <w:t>/initiates</w:t>
            </w:r>
            <w:r w:rsidRPr="00374BCB">
              <w:rPr>
                <w:rFonts w:cs="Arial"/>
                <w:sz w:val="22"/>
                <w:szCs w:val="22"/>
              </w:rPr>
              <w:t xml:space="preserve"> charging based on customer preferences</w:t>
            </w:r>
          </w:p>
        </w:tc>
        <w:tc>
          <w:tcPr>
            <w:tcW w:w="3600" w:type="dxa"/>
          </w:tcPr>
          <w:p w14:paraId="353DCF00" w14:textId="77777777" w:rsidR="00582E1E" w:rsidRPr="00374BCB" w:rsidRDefault="00582E1E" w:rsidP="00CF0E09">
            <w:pPr>
              <w:rPr>
                <w:rFonts w:cs="Arial"/>
                <w:sz w:val="22"/>
                <w:szCs w:val="22"/>
              </w:rPr>
            </w:pPr>
            <w:r w:rsidRPr="00374BCB">
              <w:rPr>
                <w:rFonts w:cs="Arial"/>
                <w:sz w:val="22"/>
                <w:szCs w:val="22"/>
              </w:rPr>
              <w:t>PEV, based on customer settings (time charge is needed) can automatically opt in or opt out of event</w:t>
            </w:r>
          </w:p>
        </w:tc>
      </w:tr>
      <w:tr w:rsidR="00235986" w14:paraId="2C433390" w14:textId="77777777" w:rsidTr="00F271B4">
        <w:trPr>
          <w:trHeight w:val="1439"/>
        </w:trPr>
        <w:tc>
          <w:tcPr>
            <w:tcW w:w="720" w:type="dxa"/>
          </w:tcPr>
          <w:p w14:paraId="618918C2" w14:textId="7A252F70" w:rsidR="00235986" w:rsidRPr="00374BCB" w:rsidRDefault="00235986" w:rsidP="00CF0E09">
            <w:pPr>
              <w:rPr>
                <w:rFonts w:cs="Arial"/>
                <w:sz w:val="22"/>
                <w:szCs w:val="22"/>
              </w:rPr>
            </w:pPr>
            <w:r>
              <w:rPr>
                <w:rFonts w:cs="Arial"/>
                <w:sz w:val="22"/>
                <w:szCs w:val="22"/>
              </w:rPr>
              <w:t>3b</w:t>
            </w:r>
          </w:p>
        </w:tc>
        <w:tc>
          <w:tcPr>
            <w:tcW w:w="2610" w:type="dxa"/>
          </w:tcPr>
          <w:p w14:paraId="6387B3F9" w14:textId="267C8930" w:rsidR="00235986" w:rsidRPr="00374BCB" w:rsidRDefault="00235986" w:rsidP="00235986">
            <w:pPr>
              <w:rPr>
                <w:rFonts w:cs="Arial"/>
                <w:sz w:val="22"/>
                <w:szCs w:val="22"/>
              </w:rPr>
            </w:pPr>
            <w:r>
              <w:rPr>
                <w:rFonts w:cs="Arial"/>
                <w:sz w:val="22"/>
                <w:szCs w:val="22"/>
              </w:rPr>
              <w:t>EVSE/Payment Station/App</w:t>
            </w:r>
          </w:p>
        </w:tc>
        <w:tc>
          <w:tcPr>
            <w:tcW w:w="4770" w:type="dxa"/>
          </w:tcPr>
          <w:p w14:paraId="68104E11" w14:textId="7203EB4A" w:rsidR="00235986" w:rsidRPr="00374BCB" w:rsidRDefault="00235986" w:rsidP="00235986">
            <w:pPr>
              <w:rPr>
                <w:rFonts w:cs="Arial"/>
                <w:sz w:val="22"/>
                <w:szCs w:val="22"/>
              </w:rPr>
            </w:pPr>
            <w:r>
              <w:rPr>
                <w:rFonts w:cs="Arial"/>
                <w:sz w:val="22"/>
                <w:szCs w:val="22"/>
              </w:rPr>
              <w:t>Informs customer of upcoming event. Customer opts in/out of event based on needs and preferences and external influences (e.g., higher energy/time cost).</w:t>
            </w:r>
          </w:p>
        </w:tc>
        <w:tc>
          <w:tcPr>
            <w:tcW w:w="3600" w:type="dxa"/>
          </w:tcPr>
          <w:p w14:paraId="548FD09F" w14:textId="01D4293D" w:rsidR="00235986" w:rsidRPr="00374BCB" w:rsidRDefault="00235986" w:rsidP="00CF0E09">
            <w:pPr>
              <w:rPr>
                <w:rFonts w:cs="Arial"/>
                <w:sz w:val="22"/>
                <w:szCs w:val="22"/>
              </w:rPr>
            </w:pPr>
            <w:r>
              <w:rPr>
                <w:rFonts w:cs="Arial"/>
                <w:sz w:val="22"/>
                <w:szCs w:val="22"/>
              </w:rPr>
              <w:t xml:space="preserve">May require technologies allowing customers to be able to plug in and not charge or charge at a lower rate until the event begins. May require pricing penalty schemes to incentivize participation. </w:t>
            </w:r>
          </w:p>
        </w:tc>
      </w:tr>
    </w:tbl>
    <w:p w14:paraId="3AC10DAC" w14:textId="3F5327BB" w:rsidR="00FF49B4" w:rsidRDefault="00FF49B4" w:rsidP="00FF4291">
      <w:pPr>
        <w:pStyle w:val="Heading1"/>
        <w:numPr>
          <w:ilvl w:val="0"/>
          <w:numId w:val="0"/>
        </w:numPr>
      </w:pPr>
      <w:bookmarkStart w:id="13" w:name="_Toc484168021"/>
      <w:bookmarkEnd w:id="12"/>
      <w:r>
        <w:lastRenderedPageBreak/>
        <w:t>Appendix A- Possible Program Types</w:t>
      </w:r>
      <w:bookmarkEnd w:id="13"/>
    </w:p>
    <w:p w14:paraId="1B364A7D" w14:textId="77777777" w:rsidR="00FF49B4" w:rsidRDefault="00FF49B4" w:rsidP="00FF49B4">
      <w:pPr>
        <w:jc w:val="both"/>
        <w:rPr>
          <w:sz w:val="22"/>
          <w:szCs w:val="22"/>
        </w:rPr>
      </w:pPr>
      <w:r>
        <w:rPr>
          <w:sz w:val="22"/>
          <w:szCs w:val="22"/>
        </w:rPr>
        <w:t xml:space="preserve">Workplace PEV load management methodologies for mitigation of midday over generation address the following scenarios. </w:t>
      </w:r>
    </w:p>
    <w:p w14:paraId="0CD4706F" w14:textId="77777777" w:rsidR="00FF49B4" w:rsidRDefault="00FF49B4" w:rsidP="00FF49B4">
      <w:pPr>
        <w:rPr>
          <w:sz w:val="22"/>
          <w:szCs w:val="22"/>
        </w:rPr>
      </w:pPr>
    </w:p>
    <w:p w14:paraId="4CEA0FB1" w14:textId="77777777" w:rsidR="00FF49B4" w:rsidRPr="00480DCF" w:rsidRDefault="00FF49B4" w:rsidP="00FF49B4">
      <w:pPr>
        <w:ind w:left="360"/>
        <w:rPr>
          <w:sz w:val="22"/>
          <w:szCs w:val="22"/>
        </w:rPr>
      </w:pPr>
      <w:r w:rsidRPr="00017DD3">
        <w:rPr>
          <w:b/>
          <w:sz w:val="22"/>
          <w:szCs w:val="22"/>
        </w:rPr>
        <w:t>Dynamic Pricing Signals</w:t>
      </w:r>
      <w:r>
        <w:rPr>
          <w:b/>
          <w:sz w:val="22"/>
          <w:szCs w:val="22"/>
        </w:rPr>
        <w:t xml:space="preserve"> – </w:t>
      </w:r>
      <w:r>
        <w:rPr>
          <w:sz w:val="22"/>
          <w:szCs w:val="22"/>
        </w:rPr>
        <w:t xml:space="preserve">Utilities will define pricing for specific events or time of day durations based on energy wholesale market pricing determinations and variability in grid conditions such as end of daytime reduction in PV generation. </w:t>
      </w:r>
    </w:p>
    <w:p w14:paraId="4A68CA13" w14:textId="77777777" w:rsidR="00FF49B4" w:rsidRPr="005268DE" w:rsidRDefault="00FF49B4" w:rsidP="00FF49B4">
      <w:pPr>
        <w:numPr>
          <w:ilvl w:val="0"/>
          <w:numId w:val="44"/>
        </w:numPr>
        <w:shd w:val="clear" w:color="auto" w:fill="FFFFFF"/>
        <w:overflowPunct/>
        <w:autoSpaceDE/>
        <w:autoSpaceDN/>
        <w:adjustRightInd/>
        <w:spacing w:before="150" w:after="150"/>
        <w:jc w:val="both"/>
        <w:textAlignment w:val="auto"/>
        <w:rPr>
          <w:rFonts w:cstheme="minorHAnsi"/>
          <w:color w:val="333333"/>
          <w:sz w:val="22"/>
          <w:szCs w:val="22"/>
        </w:rPr>
      </w:pPr>
      <w:r w:rsidRPr="001A39E0">
        <w:rPr>
          <w:rFonts w:cstheme="minorHAnsi"/>
          <w:b/>
          <w:bCs/>
          <w:color w:val="333333"/>
          <w:sz w:val="22"/>
          <w:szCs w:val="22"/>
        </w:rPr>
        <w:t>Real-time pricing (RTP)</w:t>
      </w:r>
      <w:r w:rsidRPr="001A39E0">
        <w:rPr>
          <w:rFonts w:cstheme="minorHAnsi"/>
          <w:color w:val="333333"/>
          <w:sz w:val="22"/>
          <w:szCs w:val="22"/>
        </w:rPr>
        <w:t> </w:t>
      </w:r>
      <w:r w:rsidRPr="005268DE">
        <w:rPr>
          <w:rFonts w:cstheme="minorHAnsi"/>
          <w:color w:val="333333"/>
          <w:sz w:val="22"/>
          <w:szCs w:val="22"/>
        </w:rPr>
        <w:t xml:space="preserve">- pricing rates </w:t>
      </w:r>
      <w:r>
        <w:rPr>
          <w:rFonts w:cstheme="minorHAnsi"/>
          <w:color w:val="333333"/>
          <w:sz w:val="22"/>
          <w:szCs w:val="22"/>
        </w:rPr>
        <w:t xml:space="preserve">that </w:t>
      </w:r>
      <w:r w:rsidRPr="005268DE">
        <w:rPr>
          <w:rFonts w:cstheme="minorHAnsi"/>
          <w:color w:val="333333"/>
          <w:sz w:val="22"/>
          <w:szCs w:val="22"/>
        </w:rPr>
        <w:t>generally apply to usage on an hourly basis</w:t>
      </w:r>
      <w:r>
        <w:rPr>
          <w:rFonts w:cstheme="minorHAnsi"/>
          <w:color w:val="333333"/>
          <w:sz w:val="22"/>
          <w:szCs w:val="22"/>
        </w:rPr>
        <w:t xml:space="preserve"> due to unforeseen critical or emergency grid conditions</w:t>
      </w:r>
      <w:r w:rsidRPr="005268DE">
        <w:rPr>
          <w:rFonts w:cstheme="minorHAnsi"/>
          <w:color w:val="333333"/>
          <w:sz w:val="22"/>
          <w:szCs w:val="22"/>
        </w:rPr>
        <w:t>.</w:t>
      </w:r>
    </w:p>
    <w:p w14:paraId="311D0D66" w14:textId="77777777" w:rsidR="00FF49B4" w:rsidRPr="005268DE" w:rsidRDefault="00FF49B4" w:rsidP="00FF49B4">
      <w:pPr>
        <w:numPr>
          <w:ilvl w:val="0"/>
          <w:numId w:val="44"/>
        </w:numPr>
        <w:shd w:val="clear" w:color="auto" w:fill="FFFFFF"/>
        <w:overflowPunct/>
        <w:autoSpaceDE/>
        <w:autoSpaceDN/>
        <w:adjustRightInd/>
        <w:spacing w:before="150" w:after="150"/>
        <w:jc w:val="both"/>
        <w:textAlignment w:val="auto"/>
        <w:rPr>
          <w:rFonts w:cstheme="minorHAnsi"/>
          <w:color w:val="333333"/>
          <w:sz w:val="22"/>
          <w:szCs w:val="22"/>
        </w:rPr>
      </w:pPr>
      <w:r w:rsidRPr="001A39E0">
        <w:rPr>
          <w:rFonts w:cstheme="minorHAnsi"/>
          <w:b/>
          <w:bCs/>
          <w:color w:val="333333"/>
          <w:sz w:val="22"/>
          <w:szCs w:val="22"/>
        </w:rPr>
        <w:t>Variable Peak Pricing (VPP)</w:t>
      </w:r>
      <w:r w:rsidRPr="001A39E0">
        <w:rPr>
          <w:rFonts w:cstheme="minorHAnsi"/>
          <w:color w:val="333333"/>
          <w:sz w:val="22"/>
          <w:szCs w:val="22"/>
        </w:rPr>
        <w:t> </w:t>
      </w:r>
      <w:r w:rsidRPr="005268DE">
        <w:rPr>
          <w:rFonts w:cstheme="minorHAnsi"/>
          <w:color w:val="333333"/>
          <w:sz w:val="22"/>
          <w:szCs w:val="22"/>
        </w:rPr>
        <w:t>- a hybrid of time-of-use and real-time pricing where the different periods for pricing are defined in advance (e.g., on-peak=6 hours for summer weekday afternoon; off-peak = all other hours in the summer months), but the price established for the on-peak period varies by utility and market conditions.</w:t>
      </w:r>
    </w:p>
    <w:p w14:paraId="4297DB5F" w14:textId="77777777" w:rsidR="00FF49B4" w:rsidRPr="005268DE" w:rsidRDefault="00FF49B4" w:rsidP="00FF49B4">
      <w:pPr>
        <w:numPr>
          <w:ilvl w:val="0"/>
          <w:numId w:val="44"/>
        </w:numPr>
        <w:shd w:val="clear" w:color="auto" w:fill="FFFFFF"/>
        <w:overflowPunct/>
        <w:autoSpaceDE/>
        <w:autoSpaceDN/>
        <w:adjustRightInd/>
        <w:spacing w:before="150" w:after="150"/>
        <w:jc w:val="both"/>
        <w:textAlignment w:val="auto"/>
        <w:rPr>
          <w:rFonts w:cstheme="minorHAnsi"/>
          <w:color w:val="333333"/>
          <w:sz w:val="22"/>
          <w:szCs w:val="22"/>
        </w:rPr>
      </w:pPr>
      <w:r w:rsidRPr="001A39E0">
        <w:rPr>
          <w:rFonts w:cstheme="minorHAnsi"/>
          <w:b/>
          <w:bCs/>
          <w:color w:val="333333"/>
          <w:sz w:val="22"/>
          <w:szCs w:val="22"/>
        </w:rPr>
        <w:t>Critical peak pricing (CPP)</w:t>
      </w:r>
      <w:r w:rsidRPr="001A39E0">
        <w:rPr>
          <w:rFonts w:cstheme="minorHAnsi"/>
          <w:color w:val="333333"/>
          <w:sz w:val="22"/>
          <w:szCs w:val="22"/>
        </w:rPr>
        <w:t> </w:t>
      </w:r>
      <w:r w:rsidRPr="005268DE">
        <w:rPr>
          <w:rFonts w:cstheme="minorHAnsi"/>
          <w:color w:val="333333"/>
          <w:sz w:val="22"/>
          <w:szCs w:val="22"/>
        </w:rPr>
        <w:t>- when utilities observe or anticipate high wholesale market prices or power system emergency conditions, they may call critical events during a specified time period (e.g., 3 p.m.—6 p.m. on a hot summer weekday), the price for electricity during these time periods is substantially raised. Two variants of this type of rate design exist: one where the time and duration of the price increase are predetermined when events are called and another where the time and duration of the price increase may vary based on the electric gr</w:t>
      </w:r>
      <w:r>
        <w:rPr>
          <w:rFonts w:cstheme="minorHAnsi"/>
          <w:color w:val="333333"/>
          <w:sz w:val="22"/>
          <w:szCs w:val="22"/>
        </w:rPr>
        <w:t>id’s need to have loads reduced.</w:t>
      </w:r>
    </w:p>
    <w:p w14:paraId="56C792C4" w14:textId="77777777" w:rsidR="00FF49B4" w:rsidRPr="005268DE" w:rsidRDefault="00FF49B4" w:rsidP="00FF49B4">
      <w:pPr>
        <w:shd w:val="clear" w:color="auto" w:fill="FFFFFF"/>
        <w:spacing w:before="150" w:after="150"/>
        <w:ind w:left="360"/>
        <w:jc w:val="both"/>
        <w:rPr>
          <w:rFonts w:cstheme="minorHAnsi"/>
          <w:color w:val="333333"/>
          <w:sz w:val="22"/>
          <w:szCs w:val="22"/>
        </w:rPr>
      </w:pPr>
      <w:r>
        <w:rPr>
          <w:rFonts w:cstheme="minorHAnsi"/>
          <w:color w:val="333333"/>
          <w:sz w:val="22"/>
          <w:szCs w:val="22"/>
          <w:shd w:val="clear" w:color="auto" w:fill="FFFFFF"/>
        </w:rPr>
        <w:t>T</w:t>
      </w:r>
      <w:r w:rsidRPr="001A39E0">
        <w:rPr>
          <w:rFonts w:cstheme="minorHAnsi"/>
          <w:color w:val="333333"/>
          <w:sz w:val="22"/>
          <w:szCs w:val="22"/>
          <w:shd w:val="clear" w:color="auto" w:fill="FFFFFF"/>
        </w:rPr>
        <w:t>he</w:t>
      </w:r>
      <w:r>
        <w:rPr>
          <w:rFonts w:cstheme="minorHAnsi"/>
          <w:color w:val="333333"/>
          <w:sz w:val="22"/>
          <w:szCs w:val="22"/>
          <w:shd w:val="clear" w:color="auto" w:fill="FFFFFF"/>
        </w:rPr>
        <w:t xml:space="preserve"> pricing programs listed above </w:t>
      </w:r>
      <w:r w:rsidRPr="001A39E0">
        <w:rPr>
          <w:rFonts w:cstheme="minorHAnsi"/>
          <w:color w:val="333333"/>
          <w:sz w:val="22"/>
          <w:szCs w:val="22"/>
          <w:shd w:val="clear" w:color="auto" w:fill="FFFFFF"/>
        </w:rPr>
        <w:t>are commonly referred to as dynamic pricing because prices are not known with certainty ahead of time.</w:t>
      </w:r>
      <w:r w:rsidRPr="001A39E0">
        <w:rPr>
          <w:rStyle w:val="apple-converted-space"/>
          <w:rFonts w:cstheme="minorHAnsi"/>
          <w:color w:val="333333"/>
          <w:sz w:val="22"/>
          <w:szCs w:val="22"/>
          <w:shd w:val="clear" w:color="auto" w:fill="FFFFFF"/>
        </w:rPr>
        <w:t> </w:t>
      </w:r>
    </w:p>
    <w:p w14:paraId="41565F71" w14:textId="77777777" w:rsidR="00FF49B4" w:rsidRPr="001F3020" w:rsidRDefault="00FF49B4" w:rsidP="00FF49B4">
      <w:pPr>
        <w:ind w:left="360"/>
        <w:rPr>
          <w:sz w:val="22"/>
          <w:szCs w:val="22"/>
        </w:rPr>
      </w:pPr>
    </w:p>
    <w:p w14:paraId="29983DA8" w14:textId="77777777" w:rsidR="00FF49B4" w:rsidRPr="00ED0B51" w:rsidRDefault="00FF49B4" w:rsidP="00FF49B4">
      <w:pPr>
        <w:ind w:left="360"/>
        <w:rPr>
          <w:b/>
          <w:sz w:val="22"/>
          <w:szCs w:val="22"/>
        </w:rPr>
      </w:pPr>
      <w:r w:rsidRPr="00017DD3">
        <w:rPr>
          <w:b/>
          <w:sz w:val="22"/>
          <w:szCs w:val="22"/>
        </w:rPr>
        <w:t>Curtailment (Demand Response Event)</w:t>
      </w:r>
      <w:r>
        <w:rPr>
          <w:b/>
          <w:sz w:val="22"/>
          <w:szCs w:val="22"/>
        </w:rPr>
        <w:t xml:space="preserve"> - </w:t>
      </w:r>
      <w:r w:rsidRPr="00ED0B51">
        <w:rPr>
          <w:sz w:val="22"/>
          <w:szCs w:val="22"/>
        </w:rPr>
        <w:t>Utilities establish programs through 3</w:t>
      </w:r>
      <w:r w:rsidRPr="00ED0B51">
        <w:rPr>
          <w:sz w:val="22"/>
          <w:szCs w:val="22"/>
          <w:vertAlign w:val="superscript"/>
        </w:rPr>
        <w:t>rd</w:t>
      </w:r>
      <w:r w:rsidRPr="00ED0B51">
        <w:rPr>
          <w:sz w:val="22"/>
          <w:szCs w:val="22"/>
        </w:rPr>
        <w:t xml:space="preserve"> party aggregators of PEVs and /or EVSEs to </w:t>
      </w:r>
      <w:r>
        <w:rPr>
          <w:sz w:val="22"/>
          <w:szCs w:val="22"/>
        </w:rPr>
        <w:t>execute</w:t>
      </w:r>
      <w:r w:rsidRPr="00ED0B51">
        <w:rPr>
          <w:sz w:val="22"/>
          <w:szCs w:val="22"/>
        </w:rPr>
        <w:t xml:space="preserve"> utility specified DR event signals (date, time, duration, region (i.e. SubLAP)). </w:t>
      </w:r>
      <w:r>
        <w:rPr>
          <w:sz w:val="22"/>
          <w:szCs w:val="22"/>
        </w:rPr>
        <w:t xml:space="preserve">It is assume PEV events are day ahead or hour ahead at most. </w:t>
      </w:r>
      <w:r w:rsidRPr="00ED0B51">
        <w:rPr>
          <w:sz w:val="22"/>
          <w:szCs w:val="22"/>
        </w:rPr>
        <w:t>Customer</w:t>
      </w:r>
      <w:r>
        <w:rPr>
          <w:sz w:val="22"/>
          <w:szCs w:val="22"/>
        </w:rPr>
        <w:t>s or site hosts</w:t>
      </w:r>
      <w:r w:rsidRPr="00ED0B51">
        <w:rPr>
          <w:sz w:val="22"/>
          <w:szCs w:val="22"/>
        </w:rPr>
        <w:t xml:space="preserve"> will have opt-in/out rights per their preferences and the PEV determined charging needs, as constrained by </w:t>
      </w:r>
      <w:r>
        <w:rPr>
          <w:sz w:val="22"/>
          <w:szCs w:val="22"/>
        </w:rPr>
        <w:t xml:space="preserve">billing calculations (tariff and demand charges), PEV </w:t>
      </w:r>
      <w:r w:rsidRPr="00ED0B51">
        <w:rPr>
          <w:sz w:val="22"/>
          <w:szCs w:val="22"/>
        </w:rPr>
        <w:t xml:space="preserve">time charge is needed </w:t>
      </w:r>
      <w:r>
        <w:rPr>
          <w:sz w:val="22"/>
          <w:szCs w:val="22"/>
        </w:rPr>
        <w:t xml:space="preserve">and SOC of the vehicle. </w:t>
      </w:r>
      <w:r w:rsidRPr="00ED0B51">
        <w:rPr>
          <w:sz w:val="22"/>
          <w:szCs w:val="22"/>
        </w:rPr>
        <w:t>ISO DR programs may require aggregator to provide DR capacity bids into the wholesale energy market, and may require consolidation with other DR providers to meet ISO minimum participation thresholds.  (CAISO is developing guidelines and procedures for inclusion of D</w:t>
      </w:r>
      <w:r>
        <w:rPr>
          <w:sz w:val="22"/>
          <w:szCs w:val="22"/>
        </w:rPr>
        <w:t xml:space="preserve">R as an energy market resource). </w:t>
      </w:r>
    </w:p>
    <w:p w14:paraId="31007FD2" w14:textId="077FADCF" w:rsidR="00820A93" w:rsidRPr="0029735B" w:rsidRDefault="00820A93" w:rsidP="0029735B">
      <w:pPr>
        <w:jc w:val="both"/>
        <w:rPr>
          <w:rFonts w:cs="Arial"/>
          <w:sz w:val="22"/>
          <w:szCs w:val="22"/>
        </w:rPr>
      </w:pPr>
    </w:p>
    <w:sectPr w:rsidR="00820A93" w:rsidRPr="0029735B" w:rsidSect="00582E1E">
      <w:headerReference w:type="default" r:id="rId8"/>
      <w:pgSz w:w="15842" w:h="12242" w:orient="landscape" w:code="1"/>
      <w:pgMar w:top="1440" w:right="1440" w:bottom="1350" w:left="1440" w:header="720" w:footer="49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A44904" w14:textId="77777777" w:rsidR="0053259D" w:rsidRDefault="0053259D">
      <w:r>
        <w:separator/>
      </w:r>
    </w:p>
  </w:endnote>
  <w:endnote w:type="continuationSeparator" w:id="0">
    <w:p w14:paraId="7DACB305" w14:textId="77777777" w:rsidR="0053259D" w:rsidRDefault="00532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21BE6B" w14:textId="77777777" w:rsidR="0053259D" w:rsidRDefault="0053259D">
      <w:r>
        <w:separator/>
      </w:r>
    </w:p>
  </w:footnote>
  <w:footnote w:type="continuationSeparator" w:id="0">
    <w:p w14:paraId="69D66A30" w14:textId="77777777" w:rsidR="0053259D" w:rsidRDefault="005325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4EA5C3" w14:textId="56C927C1" w:rsidR="00FC1027" w:rsidRDefault="00FC1027" w:rsidP="00FC1027">
    <w:pPr>
      <w:pStyle w:val="Header"/>
      <w:pBdr>
        <w:bottom w:val="none" w:sz="0" w:space="0" w:color="auto"/>
      </w:pBdr>
    </w:pPr>
  </w:p>
  <w:p w14:paraId="77B0D58C" w14:textId="0A2CE980" w:rsidR="00886F57" w:rsidRPr="002D2A96" w:rsidRDefault="00886F57" w:rsidP="002D2A96">
    <w:pPr>
      <w:pStyle w:val="Header"/>
      <w:pBdr>
        <w:bottom w:val="none" w:sz="0" w:space="0" w:color="auto"/>
      </w:pBdr>
      <w:tabs>
        <w:tab w:val="clear" w:pos="4678"/>
        <w:tab w:val="center" w:pos="4680"/>
      </w:tabs>
      <w:spacing w:after="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83223D1A"/>
    <w:lvl w:ilvl="0">
      <w:start w:val="1"/>
      <w:numFmt w:val="decimal"/>
      <w:pStyle w:val="Heading1"/>
      <w:lvlText w:val="%1."/>
      <w:legacy w:legacy="1" w:legacySpace="144" w:legacyIndent="0"/>
      <w:lvlJc w:val="left"/>
    </w:lvl>
    <w:lvl w:ilvl="1">
      <w:start w:val="1"/>
      <w:numFmt w:val="decimal"/>
      <w:lvlText w:val="%1.%2"/>
      <w:legacy w:legacy="1" w:legacySpace="144" w:legacyIndent="0"/>
      <w:lvlJc w:val="left"/>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02605855"/>
    <w:multiLevelType w:val="hybridMultilevel"/>
    <w:tmpl w:val="FFA27E0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2897120"/>
    <w:multiLevelType w:val="hybridMultilevel"/>
    <w:tmpl w:val="589248D6"/>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9BC11EE"/>
    <w:multiLevelType w:val="hybridMultilevel"/>
    <w:tmpl w:val="20FE383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C072891"/>
    <w:multiLevelType w:val="hybridMultilevel"/>
    <w:tmpl w:val="16FE6B56"/>
    <w:lvl w:ilvl="0" w:tplc="0409000F">
      <w:start w:val="1"/>
      <w:numFmt w:val="decimal"/>
      <w:lvlText w:val="%1."/>
      <w:lvlJc w:val="left"/>
      <w:pPr>
        <w:tabs>
          <w:tab w:val="num" w:pos="748"/>
        </w:tabs>
        <w:ind w:left="748" w:hanging="360"/>
      </w:pPr>
    </w:lvl>
    <w:lvl w:ilvl="1" w:tplc="04090019" w:tentative="1">
      <w:start w:val="1"/>
      <w:numFmt w:val="lowerLetter"/>
      <w:lvlText w:val="%2."/>
      <w:lvlJc w:val="left"/>
      <w:pPr>
        <w:tabs>
          <w:tab w:val="num" w:pos="1468"/>
        </w:tabs>
        <w:ind w:left="1468" w:hanging="360"/>
      </w:pPr>
    </w:lvl>
    <w:lvl w:ilvl="2" w:tplc="0409001B" w:tentative="1">
      <w:start w:val="1"/>
      <w:numFmt w:val="lowerRoman"/>
      <w:lvlText w:val="%3."/>
      <w:lvlJc w:val="right"/>
      <w:pPr>
        <w:tabs>
          <w:tab w:val="num" w:pos="2188"/>
        </w:tabs>
        <w:ind w:left="2188" w:hanging="180"/>
      </w:pPr>
    </w:lvl>
    <w:lvl w:ilvl="3" w:tplc="0409000F" w:tentative="1">
      <w:start w:val="1"/>
      <w:numFmt w:val="decimal"/>
      <w:lvlText w:val="%4."/>
      <w:lvlJc w:val="left"/>
      <w:pPr>
        <w:tabs>
          <w:tab w:val="num" w:pos="2908"/>
        </w:tabs>
        <w:ind w:left="2908" w:hanging="360"/>
      </w:pPr>
    </w:lvl>
    <w:lvl w:ilvl="4" w:tplc="04090019" w:tentative="1">
      <w:start w:val="1"/>
      <w:numFmt w:val="lowerLetter"/>
      <w:lvlText w:val="%5."/>
      <w:lvlJc w:val="left"/>
      <w:pPr>
        <w:tabs>
          <w:tab w:val="num" w:pos="3628"/>
        </w:tabs>
        <w:ind w:left="3628" w:hanging="360"/>
      </w:pPr>
    </w:lvl>
    <w:lvl w:ilvl="5" w:tplc="0409001B" w:tentative="1">
      <w:start w:val="1"/>
      <w:numFmt w:val="lowerRoman"/>
      <w:lvlText w:val="%6."/>
      <w:lvlJc w:val="right"/>
      <w:pPr>
        <w:tabs>
          <w:tab w:val="num" w:pos="4348"/>
        </w:tabs>
        <w:ind w:left="4348" w:hanging="180"/>
      </w:pPr>
    </w:lvl>
    <w:lvl w:ilvl="6" w:tplc="0409000F" w:tentative="1">
      <w:start w:val="1"/>
      <w:numFmt w:val="decimal"/>
      <w:lvlText w:val="%7."/>
      <w:lvlJc w:val="left"/>
      <w:pPr>
        <w:tabs>
          <w:tab w:val="num" w:pos="5068"/>
        </w:tabs>
        <w:ind w:left="5068" w:hanging="360"/>
      </w:pPr>
    </w:lvl>
    <w:lvl w:ilvl="7" w:tplc="04090019" w:tentative="1">
      <w:start w:val="1"/>
      <w:numFmt w:val="lowerLetter"/>
      <w:lvlText w:val="%8."/>
      <w:lvlJc w:val="left"/>
      <w:pPr>
        <w:tabs>
          <w:tab w:val="num" w:pos="5788"/>
        </w:tabs>
        <w:ind w:left="5788" w:hanging="360"/>
      </w:pPr>
    </w:lvl>
    <w:lvl w:ilvl="8" w:tplc="0409001B" w:tentative="1">
      <w:start w:val="1"/>
      <w:numFmt w:val="lowerRoman"/>
      <w:lvlText w:val="%9."/>
      <w:lvlJc w:val="right"/>
      <w:pPr>
        <w:tabs>
          <w:tab w:val="num" w:pos="6508"/>
        </w:tabs>
        <w:ind w:left="6508" w:hanging="180"/>
      </w:pPr>
    </w:lvl>
  </w:abstractNum>
  <w:abstractNum w:abstractNumId="5" w15:restartNumberingAfterBreak="0">
    <w:nsid w:val="0E061C1A"/>
    <w:multiLevelType w:val="hybridMultilevel"/>
    <w:tmpl w:val="7248D22A"/>
    <w:lvl w:ilvl="0" w:tplc="04090001">
      <w:start w:val="1"/>
      <w:numFmt w:val="bullet"/>
      <w:lvlText w:val=""/>
      <w:lvlJc w:val="left"/>
      <w:pPr>
        <w:tabs>
          <w:tab w:val="num" w:pos="780"/>
        </w:tabs>
        <w:ind w:left="780" w:hanging="360"/>
      </w:pPr>
      <w:rPr>
        <w:rFonts w:ascii="Symbol" w:hAnsi="Symbol" w:hint="default"/>
      </w:rPr>
    </w:lvl>
    <w:lvl w:ilvl="1" w:tplc="0409000F">
      <w:start w:val="1"/>
      <w:numFmt w:val="decimal"/>
      <w:lvlText w:val="%2."/>
      <w:lvlJc w:val="left"/>
      <w:pPr>
        <w:tabs>
          <w:tab w:val="num" w:pos="1500"/>
        </w:tabs>
        <w:ind w:left="1500" w:hanging="360"/>
      </w:pPr>
      <w:rPr>
        <w:rFonts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6" w15:restartNumberingAfterBreak="0">
    <w:nsid w:val="0F9567CD"/>
    <w:multiLevelType w:val="hybridMultilevel"/>
    <w:tmpl w:val="D2EE8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EB5E68"/>
    <w:multiLevelType w:val="hybridMultilevel"/>
    <w:tmpl w:val="FCF84B26"/>
    <w:lvl w:ilvl="0" w:tplc="0409000F">
      <w:start w:val="1"/>
      <w:numFmt w:val="decimal"/>
      <w:lvlText w:val="%1."/>
      <w:lvlJc w:val="left"/>
      <w:pPr>
        <w:tabs>
          <w:tab w:val="num" w:pos="748"/>
        </w:tabs>
        <w:ind w:left="748" w:hanging="360"/>
      </w:pPr>
    </w:lvl>
    <w:lvl w:ilvl="1" w:tplc="04090019" w:tentative="1">
      <w:start w:val="1"/>
      <w:numFmt w:val="lowerLetter"/>
      <w:lvlText w:val="%2."/>
      <w:lvlJc w:val="left"/>
      <w:pPr>
        <w:tabs>
          <w:tab w:val="num" w:pos="1468"/>
        </w:tabs>
        <w:ind w:left="1468" w:hanging="360"/>
      </w:pPr>
    </w:lvl>
    <w:lvl w:ilvl="2" w:tplc="0409001B" w:tentative="1">
      <w:start w:val="1"/>
      <w:numFmt w:val="lowerRoman"/>
      <w:lvlText w:val="%3."/>
      <w:lvlJc w:val="right"/>
      <w:pPr>
        <w:tabs>
          <w:tab w:val="num" w:pos="2188"/>
        </w:tabs>
        <w:ind w:left="2188" w:hanging="180"/>
      </w:pPr>
    </w:lvl>
    <w:lvl w:ilvl="3" w:tplc="0409000F" w:tentative="1">
      <w:start w:val="1"/>
      <w:numFmt w:val="decimal"/>
      <w:lvlText w:val="%4."/>
      <w:lvlJc w:val="left"/>
      <w:pPr>
        <w:tabs>
          <w:tab w:val="num" w:pos="2908"/>
        </w:tabs>
        <w:ind w:left="2908" w:hanging="360"/>
      </w:pPr>
    </w:lvl>
    <w:lvl w:ilvl="4" w:tplc="04090019" w:tentative="1">
      <w:start w:val="1"/>
      <w:numFmt w:val="lowerLetter"/>
      <w:lvlText w:val="%5."/>
      <w:lvlJc w:val="left"/>
      <w:pPr>
        <w:tabs>
          <w:tab w:val="num" w:pos="3628"/>
        </w:tabs>
        <w:ind w:left="3628" w:hanging="360"/>
      </w:pPr>
    </w:lvl>
    <w:lvl w:ilvl="5" w:tplc="0409001B" w:tentative="1">
      <w:start w:val="1"/>
      <w:numFmt w:val="lowerRoman"/>
      <w:lvlText w:val="%6."/>
      <w:lvlJc w:val="right"/>
      <w:pPr>
        <w:tabs>
          <w:tab w:val="num" w:pos="4348"/>
        </w:tabs>
        <w:ind w:left="4348" w:hanging="180"/>
      </w:pPr>
    </w:lvl>
    <w:lvl w:ilvl="6" w:tplc="0409000F" w:tentative="1">
      <w:start w:val="1"/>
      <w:numFmt w:val="decimal"/>
      <w:lvlText w:val="%7."/>
      <w:lvlJc w:val="left"/>
      <w:pPr>
        <w:tabs>
          <w:tab w:val="num" w:pos="5068"/>
        </w:tabs>
        <w:ind w:left="5068" w:hanging="360"/>
      </w:pPr>
    </w:lvl>
    <w:lvl w:ilvl="7" w:tplc="04090019" w:tentative="1">
      <w:start w:val="1"/>
      <w:numFmt w:val="lowerLetter"/>
      <w:lvlText w:val="%8."/>
      <w:lvlJc w:val="left"/>
      <w:pPr>
        <w:tabs>
          <w:tab w:val="num" w:pos="5788"/>
        </w:tabs>
        <w:ind w:left="5788" w:hanging="360"/>
      </w:pPr>
    </w:lvl>
    <w:lvl w:ilvl="8" w:tplc="0409001B" w:tentative="1">
      <w:start w:val="1"/>
      <w:numFmt w:val="lowerRoman"/>
      <w:lvlText w:val="%9."/>
      <w:lvlJc w:val="right"/>
      <w:pPr>
        <w:tabs>
          <w:tab w:val="num" w:pos="6508"/>
        </w:tabs>
        <w:ind w:left="6508" w:hanging="180"/>
      </w:pPr>
    </w:lvl>
  </w:abstractNum>
  <w:abstractNum w:abstractNumId="8" w15:restartNumberingAfterBreak="0">
    <w:nsid w:val="167D7365"/>
    <w:multiLevelType w:val="hybridMultilevel"/>
    <w:tmpl w:val="815E504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9E10992"/>
    <w:multiLevelType w:val="hybridMultilevel"/>
    <w:tmpl w:val="AAB44190"/>
    <w:lvl w:ilvl="0" w:tplc="04090001">
      <w:start w:val="1"/>
      <w:numFmt w:val="bullet"/>
      <w:lvlText w:val=""/>
      <w:lvlJc w:val="left"/>
      <w:pPr>
        <w:ind w:left="748" w:hanging="360"/>
      </w:pPr>
      <w:rPr>
        <w:rFonts w:ascii="Symbol" w:hAnsi="Symbol" w:hint="default"/>
      </w:rPr>
    </w:lvl>
    <w:lvl w:ilvl="1" w:tplc="04090003" w:tentative="1">
      <w:start w:val="1"/>
      <w:numFmt w:val="bullet"/>
      <w:lvlText w:val="o"/>
      <w:lvlJc w:val="left"/>
      <w:pPr>
        <w:ind w:left="1468" w:hanging="360"/>
      </w:pPr>
      <w:rPr>
        <w:rFonts w:ascii="Courier New" w:hAnsi="Courier New" w:cs="Courier New" w:hint="default"/>
      </w:rPr>
    </w:lvl>
    <w:lvl w:ilvl="2" w:tplc="04090005" w:tentative="1">
      <w:start w:val="1"/>
      <w:numFmt w:val="bullet"/>
      <w:lvlText w:val=""/>
      <w:lvlJc w:val="left"/>
      <w:pPr>
        <w:ind w:left="2188" w:hanging="360"/>
      </w:pPr>
      <w:rPr>
        <w:rFonts w:ascii="Wingdings" w:hAnsi="Wingdings" w:hint="default"/>
      </w:rPr>
    </w:lvl>
    <w:lvl w:ilvl="3" w:tplc="04090001" w:tentative="1">
      <w:start w:val="1"/>
      <w:numFmt w:val="bullet"/>
      <w:lvlText w:val=""/>
      <w:lvlJc w:val="left"/>
      <w:pPr>
        <w:ind w:left="2908" w:hanging="360"/>
      </w:pPr>
      <w:rPr>
        <w:rFonts w:ascii="Symbol" w:hAnsi="Symbol" w:hint="default"/>
      </w:rPr>
    </w:lvl>
    <w:lvl w:ilvl="4" w:tplc="04090003" w:tentative="1">
      <w:start w:val="1"/>
      <w:numFmt w:val="bullet"/>
      <w:lvlText w:val="o"/>
      <w:lvlJc w:val="left"/>
      <w:pPr>
        <w:ind w:left="3628" w:hanging="360"/>
      </w:pPr>
      <w:rPr>
        <w:rFonts w:ascii="Courier New" w:hAnsi="Courier New" w:cs="Courier New" w:hint="default"/>
      </w:rPr>
    </w:lvl>
    <w:lvl w:ilvl="5" w:tplc="04090005" w:tentative="1">
      <w:start w:val="1"/>
      <w:numFmt w:val="bullet"/>
      <w:lvlText w:val=""/>
      <w:lvlJc w:val="left"/>
      <w:pPr>
        <w:ind w:left="4348" w:hanging="360"/>
      </w:pPr>
      <w:rPr>
        <w:rFonts w:ascii="Wingdings" w:hAnsi="Wingdings" w:hint="default"/>
      </w:rPr>
    </w:lvl>
    <w:lvl w:ilvl="6" w:tplc="04090001" w:tentative="1">
      <w:start w:val="1"/>
      <w:numFmt w:val="bullet"/>
      <w:lvlText w:val=""/>
      <w:lvlJc w:val="left"/>
      <w:pPr>
        <w:ind w:left="5068" w:hanging="360"/>
      </w:pPr>
      <w:rPr>
        <w:rFonts w:ascii="Symbol" w:hAnsi="Symbol" w:hint="default"/>
      </w:rPr>
    </w:lvl>
    <w:lvl w:ilvl="7" w:tplc="04090003" w:tentative="1">
      <w:start w:val="1"/>
      <w:numFmt w:val="bullet"/>
      <w:lvlText w:val="o"/>
      <w:lvlJc w:val="left"/>
      <w:pPr>
        <w:ind w:left="5788" w:hanging="360"/>
      </w:pPr>
      <w:rPr>
        <w:rFonts w:ascii="Courier New" w:hAnsi="Courier New" w:cs="Courier New" w:hint="default"/>
      </w:rPr>
    </w:lvl>
    <w:lvl w:ilvl="8" w:tplc="04090005" w:tentative="1">
      <w:start w:val="1"/>
      <w:numFmt w:val="bullet"/>
      <w:lvlText w:val=""/>
      <w:lvlJc w:val="left"/>
      <w:pPr>
        <w:ind w:left="6508" w:hanging="360"/>
      </w:pPr>
      <w:rPr>
        <w:rFonts w:ascii="Wingdings" w:hAnsi="Wingdings" w:hint="default"/>
      </w:rPr>
    </w:lvl>
  </w:abstractNum>
  <w:abstractNum w:abstractNumId="10" w15:restartNumberingAfterBreak="0">
    <w:nsid w:val="1DA45E75"/>
    <w:multiLevelType w:val="hybridMultilevel"/>
    <w:tmpl w:val="D94CBEC8"/>
    <w:lvl w:ilvl="0" w:tplc="65BC598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1E5E385E"/>
    <w:multiLevelType w:val="hybridMultilevel"/>
    <w:tmpl w:val="5E30C5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3750619"/>
    <w:multiLevelType w:val="hybridMultilevel"/>
    <w:tmpl w:val="3ADA2B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A821D2"/>
    <w:multiLevelType w:val="hybridMultilevel"/>
    <w:tmpl w:val="3C2E144C"/>
    <w:lvl w:ilvl="0" w:tplc="04090001">
      <w:start w:val="1"/>
      <w:numFmt w:val="bullet"/>
      <w:lvlText w:val=""/>
      <w:lvlJc w:val="left"/>
      <w:pPr>
        <w:ind w:left="748" w:hanging="360"/>
      </w:pPr>
      <w:rPr>
        <w:rFonts w:ascii="Symbol" w:hAnsi="Symbol" w:hint="default"/>
      </w:rPr>
    </w:lvl>
    <w:lvl w:ilvl="1" w:tplc="04090003" w:tentative="1">
      <w:start w:val="1"/>
      <w:numFmt w:val="bullet"/>
      <w:lvlText w:val="o"/>
      <w:lvlJc w:val="left"/>
      <w:pPr>
        <w:ind w:left="1468" w:hanging="360"/>
      </w:pPr>
      <w:rPr>
        <w:rFonts w:ascii="Courier New" w:hAnsi="Courier New" w:cs="Courier New" w:hint="default"/>
      </w:rPr>
    </w:lvl>
    <w:lvl w:ilvl="2" w:tplc="04090005" w:tentative="1">
      <w:start w:val="1"/>
      <w:numFmt w:val="bullet"/>
      <w:lvlText w:val=""/>
      <w:lvlJc w:val="left"/>
      <w:pPr>
        <w:ind w:left="2188" w:hanging="360"/>
      </w:pPr>
      <w:rPr>
        <w:rFonts w:ascii="Wingdings" w:hAnsi="Wingdings" w:hint="default"/>
      </w:rPr>
    </w:lvl>
    <w:lvl w:ilvl="3" w:tplc="04090001" w:tentative="1">
      <w:start w:val="1"/>
      <w:numFmt w:val="bullet"/>
      <w:lvlText w:val=""/>
      <w:lvlJc w:val="left"/>
      <w:pPr>
        <w:ind w:left="2908" w:hanging="360"/>
      </w:pPr>
      <w:rPr>
        <w:rFonts w:ascii="Symbol" w:hAnsi="Symbol" w:hint="default"/>
      </w:rPr>
    </w:lvl>
    <w:lvl w:ilvl="4" w:tplc="04090003" w:tentative="1">
      <w:start w:val="1"/>
      <w:numFmt w:val="bullet"/>
      <w:lvlText w:val="o"/>
      <w:lvlJc w:val="left"/>
      <w:pPr>
        <w:ind w:left="3628" w:hanging="360"/>
      </w:pPr>
      <w:rPr>
        <w:rFonts w:ascii="Courier New" w:hAnsi="Courier New" w:cs="Courier New" w:hint="default"/>
      </w:rPr>
    </w:lvl>
    <w:lvl w:ilvl="5" w:tplc="04090005" w:tentative="1">
      <w:start w:val="1"/>
      <w:numFmt w:val="bullet"/>
      <w:lvlText w:val=""/>
      <w:lvlJc w:val="left"/>
      <w:pPr>
        <w:ind w:left="4348" w:hanging="360"/>
      </w:pPr>
      <w:rPr>
        <w:rFonts w:ascii="Wingdings" w:hAnsi="Wingdings" w:hint="default"/>
      </w:rPr>
    </w:lvl>
    <w:lvl w:ilvl="6" w:tplc="04090001" w:tentative="1">
      <w:start w:val="1"/>
      <w:numFmt w:val="bullet"/>
      <w:lvlText w:val=""/>
      <w:lvlJc w:val="left"/>
      <w:pPr>
        <w:ind w:left="5068" w:hanging="360"/>
      </w:pPr>
      <w:rPr>
        <w:rFonts w:ascii="Symbol" w:hAnsi="Symbol" w:hint="default"/>
      </w:rPr>
    </w:lvl>
    <w:lvl w:ilvl="7" w:tplc="04090003" w:tentative="1">
      <w:start w:val="1"/>
      <w:numFmt w:val="bullet"/>
      <w:lvlText w:val="o"/>
      <w:lvlJc w:val="left"/>
      <w:pPr>
        <w:ind w:left="5788" w:hanging="360"/>
      </w:pPr>
      <w:rPr>
        <w:rFonts w:ascii="Courier New" w:hAnsi="Courier New" w:cs="Courier New" w:hint="default"/>
      </w:rPr>
    </w:lvl>
    <w:lvl w:ilvl="8" w:tplc="04090005" w:tentative="1">
      <w:start w:val="1"/>
      <w:numFmt w:val="bullet"/>
      <w:lvlText w:val=""/>
      <w:lvlJc w:val="left"/>
      <w:pPr>
        <w:ind w:left="6508" w:hanging="360"/>
      </w:pPr>
      <w:rPr>
        <w:rFonts w:ascii="Wingdings" w:hAnsi="Wingdings" w:hint="default"/>
      </w:rPr>
    </w:lvl>
  </w:abstractNum>
  <w:abstractNum w:abstractNumId="14" w15:restartNumberingAfterBreak="0">
    <w:nsid w:val="25974541"/>
    <w:multiLevelType w:val="hybridMultilevel"/>
    <w:tmpl w:val="26A2702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9FD0CE8"/>
    <w:multiLevelType w:val="hybridMultilevel"/>
    <w:tmpl w:val="A3928F3C"/>
    <w:lvl w:ilvl="0" w:tplc="0409000F">
      <w:start w:val="1"/>
      <w:numFmt w:val="decimal"/>
      <w:lvlText w:val="%1."/>
      <w:lvlJc w:val="left"/>
      <w:pPr>
        <w:tabs>
          <w:tab w:val="num" w:pos="748"/>
        </w:tabs>
        <w:ind w:left="748" w:hanging="360"/>
      </w:pPr>
    </w:lvl>
    <w:lvl w:ilvl="1" w:tplc="04090019" w:tentative="1">
      <w:start w:val="1"/>
      <w:numFmt w:val="lowerLetter"/>
      <w:lvlText w:val="%2."/>
      <w:lvlJc w:val="left"/>
      <w:pPr>
        <w:tabs>
          <w:tab w:val="num" w:pos="1468"/>
        </w:tabs>
        <w:ind w:left="1468" w:hanging="360"/>
      </w:pPr>
    </w:lvl>
    <w:lvl w:ilvl="2" w:tplc="0409001B" w:tentative="1">
      <w:start w:val="1"/>
      <w:numFmt w:val="lowerRoman"/>
      <w:lvlText w:val="%3."/>
      <w:lvlJc w:val="right"/>
      <w:pPr>
        <w:tabs>
          <w:tab w:val="num" w:pos="2188"/>
        </w:tabs>
        <w:ind w:left="2188" w:hanging="180"/>
      </w:pPr>
    </w:lvl>
    <w:lvl w:ilvl="3" w:tplc="0409000F" w:tentative="1">
      <w:start w:val="1"/>
      <w:numFmt w:val="decimal"/>
      <w:lvlText w:val="%4."/>
      <w:lvlJc w:val="left"/>
      <w:pPr>
        <w:tabs>
          <w:tab w:val="num" w:pos="2908"/>
        </w:tabs>
        <w:ind w:left="2908" w:hanging="360"/>
      </w:pPr>
    </w:lvl>
    <w:lvl w:ilvl="4" w:tplc="04090019" w:tentative="1">
      <w:start w:val="1"/>
      <w:numFmt w:val="lowerLetter"/>
      <w:lvlText w:val="%5."/>
      <w:lvlJc w:val="left"/>
      <w:pPr>
        <w:tabs>
          <w:tab w:val="num" w:pos="3628"/>
        </w:tabs>
        <w:ind w:left="3628" w:hanging="360"/>
      </w:pPr>
    </w:lvl>
    <w:lvl w:ilvl="5" w:tplc="0409001B" w:tentative="1">
      <w:start w:val="1"/>
      <w:numFmt w:val="lowerRoman"/>
      <w:lvlText w:val="%6."/>
      <w:lvlJc w:val="right"/>
      <w:pPr>
        <w:tabs>
          <w:tab w:val="num" w:pos="4348"/>
        </w:tabs>
        <w:ind w:left="4348" w:hanging="180"/>
      </w:pPr>
    </w:lvl>
    <w:lvl w:ilvl="6" w:tplc="0409000F" w:tentative="1">
      <w:start w:val="1"/>
      <w:numFmt w:val="decimal"/>
      <w:lvlText w:val="%7."/>
      <w:lvlJc w:val="left"/>
      <w:pPr>
        <w:tabs>
          <w:tab w:val="num" w:pos="5068"/>
        </w:tabs>
        <w:ind w:left="5068" w:hanging="360"/>
      </w:pPr>
    </w:lvl>
    <w:lvl w:ilvl="7" w:tplc="04090019" w:tentative="1">
      <w:start w:val="1"/>
      <w:numFmt w:val="lowerLetter"/>
      <w:lvlText w:val="%8."/>
      <w:lvlJc w:val="left"/>
      <w:pPr>
        <w:tabs>
          <w:tab w:val="num" w:pos="5788"/>
        </w:tabs>
        <w:ind w:left="5788" w:hanging="360"/>
      </w:pPr>
    </w:lvl>
    <w:lvl w:ilvl="8" w:tplc="0409001B" w:tentative="1">
      <w:start w:val="1"/>
      <w:numFmt w:val="lowerRoman"/>
      <w:lvlText w:val="%9."/>
      <w:lvlJc w:val="right"/>
      <w:pPr>
        <w:tabs>
          <w:tab w:val="num" w:pos="6508"/>
        </w:tabs>
        <w:ind w:left="6508" w:hanging="180"/>
      </w:pPr>
    </w:lvl>
  </w:abstractNum>
  <w:abstractNum w:abstractNumId="16" w15:restartNumberingAfterBreak="0">
    <w:nsid w:val="2D031585"/>
    <w:multiLevelType w:val="hybridMultilevel"/>
    <w:tmpl w:val="7B7CA9FE"/>
    <w:lvl w:ilvl="0" w:tplc="0409000F">
      <w:start w:val="1"/>
      <w:numFmt w:val="decimal"/>
      <w:lvlText w:val="%1."/>
      <w:lvlJc w:val="left"/>
      <w:pPr>
        <w:tabs>
          <w:tab w:val="num" w:pos="748"/>
        </w:tabs>
        <w:ind w:left="748" w:hanging="360"/>
      </w:pPr>
    </w:lvl>
    <w:lvl w:ilvl="1" w:tplc="04090019" w:tentative="1">
      <w:start w:val="1"/>
      <w:numFmt w:val="lowerLetter"/>
      <w:lvlText w:val="%2."/>
      <w:lvlJc w:val="left"/>
      <w:pPr>
        <w:tabs>
          <w:tab w:val="num" w:pos="1468"/>
        </w:tabs>
        <w:ind w:left="1468" w:hanging="360"/>
      </w:pPr>
    </w:lvl>
    <w:lvl w:ilvl="2" w:tplc="0409001B" w:tentative="1">
      <w:start w:val="1"/>
      <w:numFmt w:val="lowerRoman"/>
      <w:lvlText w:val="%3."/>
      <w:lvlJc w:val="right"/>
      <w:pPr>
        <w:tabs>
          <w:tab w:val="num" w:pos="2188"/>
        </w:tabs>
        <w:ind w:left="2188" w:hanging="180"/>
      </w:pPr>
    </w:lvl>
    <w:lvl w:ilvl="3" w:tplc="0409000F" w:tentative="1">
      <w:start w:val="1"/>
      <w:numFmt w:val="decimal"/>
      <w:lvlText w:val="%4."/>
      <w:lvlJc w:val="left"/>
      <w:pPr>
        <w:tabs>
          <w:tab w:val="num" w:pos="2908"/>
        </w:tabs>
        <w:ind w:left="2908" w:hanging="360"/>
      </w:pPr>
    </w:lvl>
    <w:lvl w:ilvl="4" w:tplc="04090019" w:tentative="1">
      <w:start w:val="1"/>
      <w:numFmt w:val="lowerLetter"/>
      <w:lvlText w:val="%5."/>
      <w:lvlJc w:val="left"/>
      <w:pPr>
        <w:tabs>
          <w:tab w:val="num" w:pos="3628"/>
        </w:tabs>
        <w:ind w:left="3628" w:hanging="360"/>
      </w:pPr>
    </w:lvl>
    <w:lvl w:ilvl="5" w:tplc="0409001B" w:tentative="1">
      <w:start w:val="1"/>
      <w:numFmt w:val="lowerRoman"/>
      <w:lvlText w:val="%6."/>
      <w:lvlJc w:val="right"/>
      <w:pPr>
        <w:tabs>
          <w:tab w:val="num" w:pos="4348"/>
        </w:tabs>
        <w:ind w:left="4348" w:hanging="180"/>
      </w:pPr>
    </w:lvl>
    <w:lvl w:ilvl="6" w:tplc="0409000F" w:tentative="1">
      <w:start w:val="1"/>
      <w:numFmt w:val="decimal"/>
      <w:lvlText w:val="%7."/>
      <w:lvlJc w:val="left"/>
      <w:pPr>
        <w:tabs>
          <w:tab w:val="num" w:pos="5068"/>
        </w:tabs>
        <w:ind w:left="5068" w:hanging="360"/>
      </w:pPr>
    </w:lvl>
    <w:lvl w:ilvl="7" w:tplc="04090019" w:tentative="1">
      <w:start w:val="1"/>
      <w:numFmt w:val="lowerLetter"/>
      <w:lvlText w:val="%8."/>
      <w:lvlJc w:val="left"/>
      <w:pPr>
        <w:tabs>
          <w:tab w:val="num" w:pos="5788"/>
        </w:tabs>
        <w:ind w:left="5788" w:hanging="360"/>
      </w:pPr>
    </w:lvl>
    <w:lvl w:ilvl="8" w:tplc="0409001B" w:tentative="1">
      <w:start w:val="1"/>
      <w:numFmt w:val="lowerRoman"/>
      <w:lvlText w:val="%9."/>
      <w:lvlJc w:val="right"/>
      <w:pPr>
        <w:tabs>
          <w:tab w:val="num" w:pos="6508"/>
        </w:tabs>
        <w:ind w:left="6508" w:hanging="180"/>
      </w:pPr>
    </w:lvl>
  </w:abstractNum>
  <w:abstractNum w:abstractNumId="17" w15:restartNumberingAfterBreak="0">
    <w:nsid w:val="2E595808"/>
    <w:multiLevelType w:val="hybridMultilevel"/>
    <w:tmpl w:val="C19E7BF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0E20DB2"/>
    <w:multiLevelType w:val="hybridMultilevel"/>
    <w:tmpl w:val="159A0F52"/>
    <w:lvl w:ilvl="0" w:tplc="04090001">
      <w:start w:val="1"/>
      <w:numFmt w:val="bullet"/>
      <w:lvlText w:val=""/>
      <w:lvlJc w:val="left"/>
      <w:pPr>
        <w:tabs>
          <w:tab w:val="num" w:pos="748"/>
        </w:tabs>
        <w:ind w:left="748" w:hanging="360"/>
      </w:pPr>
      <w:rPr>
        <w:rFonts w:ascii="Symbol" w:hAnsi="Symbol" w:hint="default"/>
      </w:rPr>
    </w:lvl>
    <w:lvl w:ilvl="1" w:tplc="04090003" w:tentative="1">
      <w:start w:val="1"/>
      <w:numFmt w:val="bullet"/>
      <w:lvlText w:val="o"/>
      <w:lvlJc w:val="left"/>
      <w:pPr>
        <w:tabs>
          <w:tab w:val="num" w:pos="1468"/>
        </w:tabs>
        <w:ind w:left="1468" w:hanging="360"/>
      </w:pPr>
      <w:rPr>
        <w:rFonts w:ascii="Courier New" w:hAnsi="Courier New" w:cs="Courier New" w:hint="default"/>
      </w:rPr>
    </w:lvl>
    <w:lvl w:ilvl="2" w:tplc="04090005" w:tentative="1">
      <w:start w:val="1"/>
      <w:numFmt w:val="bullet"/>
      <w:lvlText w:val=""/>
      <w:lvlJc w:val="left"/>
      <w:pPr>
        <w:tabs>
          <w:tab w:val="num" w:pos="2188"/>
        </w:tabs>
        <w:ind w:left="2188" w:hanging="360"/>
      </w:pPr>
      <w:rPr>
        <w:rFonts w:ascii="Wingdings" w:hAnsi="Wingdings" w:hint="default"/>
      </w:rPr>
    </w:lvl>
    <w:lvl w:ilvl="3" w:tplc="04090001" w:tentative="1">
      <w:start w:val="1"/>
      <w:numFmt w:val="bullet"/>
      <w:lvlText w:val=""/>
      <w:lvlJc w:val="left"/>
      <w:pPr>
        <w:tabs>
          <w:tab w:val="num" w:pos="2908"/>
        </w:tabs>
        <w:ind w:left="2908" w:hanging="360"/>
      </w:pPr>
      <w:rPr>
        <w:rFonts w:ascii="Symbol" w:hAnsi="Symbol" w:hint="default"/>
      </w:rPr>
    </w:lvl>
    <w:lvl w:ilvl="4" w:tplc="04090003" w:tentative="1">
      <w:start w:val="1"/>
      <w:numFmt w:val="bullet"/>
      <w:lvlText w:val="o"/>
      <w:lvlJc w:val="left"/>
      <w:pPr>
        <w:tabs>
          <w:tab w:val="num" w:pos="3628"/>
        </w:tabs>
        <w:ind w:left="3628" w:hanging="360"/>
      </w:pPr>
      <w:rPr>
        <w:rFonts w:ascii="Courier New" w:hAnsi="Courier New" w:cs="Courier New" w:hint="default"/>
      </w:rPr>
    </w:lvl>
    <w:lvl w:ilvl="5" w:tplc="04090005" w:tentative="1">
      <w:start w:val="1"/>
      <w:numFmt w:val="bullet"/>
      <w:lvlText w:val=""/>
      <w:lvlJc w:val="left"/>
      <w:pPr>
        <w:tabs>
          <w:tab w:val="num" w:pos="4348"/>
        </w:tabs>
        <w:ind w:left="4348" w:hanging="360"/>
      </w:pPr>
      <w:rPr>
        <w:rFonts w:ascii="Wingdings" w:hAnsi="Wingdings" w:hint="default"/>
      </w:rPr>
    </w:lvl>
    <w:lvl w:ilvl="6" w:tplc="04090001" w:tentative="1">
      <w:start w:val="1"/>
      <w:numFmt w:val="bullet"/>
      <w:lvlText w:val=""/>
      <w:lvlJc w:val="left"/>
      <w:pPr>
        <w:tabs>
          <w:tab w:val="num" w:pos="5068"/>
        </w:tabs>
        <w:ind w:left="5068" w:hanging="360"/>
      </w:pPr>
      <w:rPr>
        <w:rFonts w:ascii="Symbol" w:hAnsi="Symbol" w:hint="default"/>
      </w:rPr>
    </w:lvl>
    <w:lvl w:ilvl="7" w:tplc="04090003" w:tentative="1">
      <w:start w:val="1"/>
      <w:numFmt w:val="bullet"/>
      <w:lvlText w:val="o"/>
      <w:lvlJc w:val="left"/>
      <w:pPr>
        <w:tabs>
          <w:tab w:val="num" w:pos="5788"/>
        </w:tabs>
        <w:ind w:left="5788" w:hanging="360"/>
      </w:pPr>
      <w:rPr>
        <w:rFonts w:ascii="Courier New" w:hAnsi="Courier New" w:cs="Courier New" w:hint="default"/>
      </w:rPr>
    </w:lvl>
    <w:lvl w:ilvl="8" w:tplc="04090005" w:tentative="1">
      <w:start w:val="1"/>
      <w:numFmt w:val="bullet"/>
      <w:lvlText w:val=""/>
      <w:lvlJc w:val="left"/>
      <w:pPr>
        <w:tabs>
          <w:tab w:val="num" w:pos="6508"/>
        </w:tabs>
        <w:ind w:left="6508" w:hanging="360"/>
      </w:pPr>
      <w:rPr>
        <w:rFonts w:ascii="Wingdings" w:hAnsi="Wingdings" w:hint="default"/>
      </w:rPr>
    </w:lvl>
  </w:abstractNum>
  <w:abstractNum w:abstractNumId="19" w15:restartNumberingAfterBreak="0">
    <w:nsid w:val="36C73E06"/>
    <w:multiLevelType w:val="multilevel"/>
    <w:tmpl w:val="643011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7591E75"/>
    <w:multiLevelType w:val="hybridMultilevel"/>
    <w:tmpl w:val="39F871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B14C4B"/>
    <w:multiLevelType w:val="hybridMultilevel"/>
    <w:tmpl w:val="516E3DB4"/>
    <w:lvl w:ilvl="0" w:tplc="04090001">
      <w:start w:val="1"/>
      <w:numFmt w:val="bullet"/>
      <w:lvlText w:val=""/>
      <w:lvlJc w:val="left"/>
      <w:pPr>
        <w:tabs>
          <w:tab w:val="num" w:pos="748"/>
        </w:tabs>
        <w:ind w:left="748" w:hanging="360"/>
      </w:pPr>
      <w:rPr>
        <w:rFonts w:ascii="Symbol" w:hAnsi="Symbol" w:hint="default"/>
      </w:rPr>
    </w:lvl>
    <w:lvl w:ilvl="1" w:tplc="04090003" w:tentative="1">
      <w:start w:val="1"/>
      <w:numFmt w:val="bullet"/>
      <w:lvlText w:val="o"/>
      <w:lvlJc w:val="left"/>
      <w:pPr>
        <w:tabs>
          <w:tab w:val="num" w:pos="1468"/>
        </w:tabs>
        <w:ind w:left="1468" w:hanging="360"/>
      </w:pPr>
      <w:rPr>
        <w:rFonts w:ascii="Courier New" w:hAnsi="Courier New" w:cs="Courier New" w:hint="default"/>
      </w:rPr>
    </w:lvl>
    <w:lvl w:ilvl="2" w:tplc="04090005" w:tentative="1">
      <w:start w:val="1"/>
      <w:numFmt w:val="bullet"/>
      <w:lvlText w:val=""/>
      <w:lvlJc w:val="left"/>
      <w:pPr>
        <w:tabs>
          <w:tab w:val="num" w:pos="2188"/>
        </w:tabs>
        <w:ind w:left="2188" w:hanging="360"/>
      </w:pPr>
      <w:rPr>
        <w:rFonts w:ascii="Wingdings" w:hAnsi="Wingdings" w:hint="default"/>
      </w:rPr>
    </w:lvl>
    <w:lvl w:ilvl="3" w:tplc="04090001" w:tentative="1">
      <w:start w:val="1"/>
      <w:numFmt w:val="bullet"/>
      <w:lvlText w:val=""/>
      <w:lvlJc w:val="left"/>
      <w:pPr>
        <w:tabs>
          <w:tab w:val="num" w:pos="2908"/>
        </w:tabs>
        <w:ind w:left="2908" w:hanging="360"/>
      </w:pPr>
      <w:rPr>
        <w:rFonts w:ascii="Symbol" w:hAnsi="Symbol" w:hint="default"/>
      </w:rPr>
    </w:lvl>
    <w:lvl w:ilvl="4" w:tplc="04090003" w:tentative="1">
      <w:start w:val="1"/>
      <w:numFmt w:val="bullet"/>
      <w:lvlText w:val="o"/>
      <w:lvlJc w:val="left"/>
      <w:pPr>
        <w:tabs>
          <w:tab w:val="num" w:pos="3628"/>
        </w:tabs>
        <w:ind w:left="3628" w:hanging="360"/>
      </w:pPr>
      <w:rPr>
        <w:rFonts w:ascii="Courier New" w:hAnsi="Courier New" w:cs="Courier New" w:hint="default"/>
      </w:rPr>
    </w:lvl>
    <w:lvl w:ilvl="5" w:tplc="04090005" w:tentative="1">
      <w:start w:val="1"/>
      <w:numFmt w:val="bullet"/>
      <w:lvlText w:val=""/>
      <w:lvlJc w:val="left"/>
      <w:pPr>
        <w:tabs>
          <w:tab w:val="num" w:pos="4348"/>
        </w:tabs>
        <w:ind w:left="4348" w:hanging="360"/>
      </w:pPr>
      <w:rPr>
        <w:rFonts w:ascii="Wingdings" w:hAnsi="Wingdings" w:hint="default"/>
      </w:rPr>
    </w:lvl>
    <w:lvl w:ilvl="6" w:tplc="04090001" w:tentative="1">
      <w:start w:val="1"/>
      <w:numFmt w:val="bullet"/>
      <w:lvlText w:val=""/>
      <w:lvlJc w:val="left"/>
      <w:pPr>
        <w:tabs>
          <w:tab w:val="num" w:pos="5068"/>
        </w:tabs>
        <w:ind w:left="5068" w:hanging="360"/>
      </w:pPr>
      <w:rPr>
        <w:rFonts w:ascii="Symbol" w:hAnsi="Symbol" w:hint="default"/>
      </w:rPr>
    </w:lvl>
    <w:lvl w:ilvl="7" w:tplc="04090003" w:tentative="1">
      <w:start w:val="1"/>
      <w:numFmt w:val="bullet"/>
      <w:lvlText w:val="o"/>
      <w:lvlJc w:val="left"/>
      <w:pPr>
        <w:tabs>
          <w:tab w:val="num" w:pos="5788"/>
        </w:tabs>
        <w:ind w:left="5788" w:hanging="360"/>
      </w:pPr>
      <w:rPr>
        <w:rFonts w:ascii="Courier New" w:hAnsi="Courier New" w:cs="Courier New" w:hint="default"/>
      </w:rPr>
    </w:lvl>
    <w:lvl w:ilvl="8" w:tplc="04090005" w:tentative="1">
      <w:start w:val="1"/>
      <w:numFmt w:val="bullet"/>
      <w:lvlText w:val=""/>
      <w:lvlJc w:val="left"/>
      <w:pPr>
        <w:tabs>
          <w:tab w:val="num" w:pos="6508"/>
        </w:tabs>
        <w:ind w:left="6508" w:hanging="360"/>
      </w:pPr>
      <w:rPr>
        <w:rFonts w:ascii="Wingdings" w:hAnsi="Wingdings" w:hint="default"/>
      </w:rPr>
    </w:lvl>
  </w:abstractNum>
  <w:abstractNum w:abstractNumId="22" w15:restartNumberingAfterBreak="0">
    <w:nsid w:val="3E770B4D"/>
    <w:multiLevelType w:val="hybridMultilevel"/>
    <w:tmpl w:val="863AE28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52A2B55"/>
    <w:multiLevelType w:val="hybridMultilevel"/>
    <w:tmpl w:val="38043BD0"/>
    <w:lvl w:ilvl="0" w:tplc="04090001">
      <w:start w:val="1"/>
      <w:numFmt w:val="bullet"/>
      <w:lvlText w:val=""/>
      <w:lvlJc w:val="left"/>
      <w:pPr>
        <w:tabs>
          <w:tab w:val="num" w:pos="748"/>
        </w:tabs>
        <w:ind w:left="748" w:hanging="360"/>
      </w:pPr>
      <w:rPr>
        <w:rFonts w:ascii="Symbol" w:hAnsi="Symbol" w:hint="default"/>
      </w:rPr>
    </w:lvl>
    <w:lvl w:ilvl="1" w:tplc="04090003" w:tentative="1">
      <w:start w:val="1"/>
      <w:numFmt w:val="bullet"/>
      <w:lvlText w:val="o"/>
      <w:lvlJc w:val="left"/>
      <w:pPr>
        <w:tabs>
          <w:tab w:val="num" w:pos="1468"/>
        </w:tabs>
        <w:ind w:left="1468" w:hanging="360"/>
      </w:pPr>
      <w:rPr>
        <w:rFonts w:ascii="Courier New" w:hAnsi="Courier New" w:cs="Courier New" w:hint="default"/>
      </w:rPr>
    </w:lvl>
    <w:lvl w:ilvl="2" w:tplc="04090005" w:tentative="1">
      <w:start w:val="1"/>
      <w:numFmt w:val="bullet"/>
      <w:lvlText w:val=""/>
      <w:lvlJc w:val="left"/>
      <w:pPr>
        <w:tabs>
          <w:tab w:val="num" w:pos="2188"/>
        </w:tabs>
        <w:ind w:left="2188" w:hanging="360"/>
      </w:pPr>
      <w:rPr>
        <w:rFonts w:ascii="Wingdings" w:hAnsi="Wingdings" w:hint="default"/>
      </w:rPr>
    </w:lvl>
    <w:lvl w:ilvl="3" w:tplc="04090001" w:tentative="1">
      <w:start w:val="1"/>
      <w:numFmt w:val="bullet"/>
      <w:lvlText w:val=""/>
      <w:lvlJc w:val="left"/>
      <w:pPr>
        <w:tabs>
          <w:tab w:val="num" w:pos="2908"/>
        </w:tabs>
        <w:ind w:left="2908" w:hanging="360"/>
      </w:pPr>
      <w:rPr>
        <w:rFonts w:ascii="Symbol" w:hAnsi="Symbol" w:hint="default"/>
      </w:rPr>
    </w:lvl>
    <w:lvl w:ilvl="4" w:tplc="04090003" w:tentative="1">
      <w:start w:val="1"/>
      <w:numFmt w:val="bullet"/>
      <w:lvlText w:val="o"/>
      <w:lvlJc w:val="left"/>
      <w:pPr>
        <w:tabs>
          <w:tab w:val="num" w:pos="3628"/>
        </w:tabs>
        <w:ind w:left="3628" w:hanging="360"/>
      </w:pPr>
      <w:rPr>
        <w:rFonts w:ascii="Courier New" w:hAnsi="Courier New" w:cs="Courier New" w:hint="default"/>
      </w:rPr>
    </w:lvl>
    <w:lvl w:ilvl="5" w:tplc="04090005" w:tentative="1">
      <w:start w:val="1"/>
      <w:numFmt w:val="bullet"/>
      <w:lvlText w:val=""/>
      <w:lvlJc w:val="left"/>
      <w:pPr>
        <w:tabs>
          <w:tab w:val="num" w:pos="4348"/>
        </w:tabs>
        <w:ind w:left="4348" w:hanging="360"/>
      </w:pPr>
      <w:rPr>
        <w:rFonts w:ascii="Wingdings" w:hAnsi="Wingdings" w:hint="default"/>
      </w:rPr>
    </w:lvl>
    <w:lvl w:ilvl="6" w:tplc="04090001" w:tentative="1">
      <w:start w:val="1"/>
      <w:numFmt w:val="bullet"/>
      <w:lvlText w:val=""/>
      <w:lvlJc w:val="left"/>
      <w:pPr>
        <w:tabs>
          <w:tab w:val="num" w:pos="5068"/>
        </w:tabs>
        <w:ind w:left="5068" w:hanging="360"/>
      </w:pPr>
      <w:rPr>
        <w:rFonts w:ascii="Symbol" w:hAnsi="Symbol" w:hint="default"/>
      </w:rPr>
    </w:lvl>
    <w:lvl w:ilvl="7" w:tplc="04090003" w:tentative="1">
      <w:start w:val="1"/>
      <w:numFmt w:val="bullet"/>
      <w:lvlText w:val="o"/>
      <w:lvlJc w:val="left"/>
      <w:pPr>
        <w:tabs>
          <w:tab w:val="num" w:pos="5788"/>
        </w:tabs>
        <w:ind w:left="5788" w:hanging="360"/>
      </w:pPr>
      <w:rPr>
        <w:rFonts w:ascii="Courier New" w:hAnsi="Courier New" w:cs="Courier New" w:hint="default"/>
      </w:rPr>
    </w:lvl>
    <w:lvl w:ilvl="8" w:tplc="04090005" w:tentative="1">
      <w:start w:val="1"/>
      <w:numFmt w:val="bullet"/>
      <w:lvlText w:val=""/>
      <w:lvlJc w:val="left"/>
      <w:pPr>
        <w:tabs>
          <w:tab w:val="num" w:pos="6508"/>
        </w:tabs>
        <w:ind w:left="6508" w:hanging="360"/>
      </w:pPr>
      <w:rPr>
        <w:rFonts w:ascii="Wingdings" w:hAnsi="Wingdings" w:hint="default"/>
      </w:rPr>
    </w:lvl>
  </w:abstractNum>
  <w:abstractNum w:abstractNumId="24" w15:restartNumberingAfterBreak="0">
    <w:nsid w:val="4E9E5714"/>
    <w:multiLevelType w:val="hybridMultilevel"/>
    <w:tmpl w:val="CC0CA7F4"/>
    <w:lvl w:ilvl="0" w:tplc="0409000F">
      <w:start w:val="1"/>
      <w:numFmt w:val="decimal"/>
      <w:lvlText w:val="%1."/>
      <w:lvlJc w:val="left"/>
      <w:pPr>
        <w:tabs>
          <w:tab w:val="num" w:pos="748"/>
        </w:tabs>
        <w:ind w:left="748" w:hanging="360"/>
      </w:pPr>
    </w:lvl>
    <w:lvl w:ilvl="1" w:tplc="04090019" w:tentative="1">
      <w:start w:val="1"/>
      <w:numFmt w:val="lowerLetter"/>
      <w:lvlText w:val="%2."/>
      <w:lvlJc w:val="left"/>
      <w:pPr>
        <w:tabs>
          <w:tab w:val="num" w:pos="1468"/>
        </w:tabs>
        <w:ind w:left="1468" w:hanging="360"/>
      </w:pPr>
    </w:lvl>
    <w:lvl w:ilvl="2" w:tplc="0409001B" w:tentative="1">
      <w:start w:val="1"/>
      <w:numFmt w:val="lowerRoman"/>
      <w:lvlText w:val="%3."/>
      <w:lvlJc w:val="right"/>
      <w:pPr>
        <w:tabs>
          <w:tab w:val="num" w:pos="2188"/>
        </w:tabs>
        <w:ind w:left="2188" w:hanging="180"/>
      </w:pPr>
    </w:lvl>
    <w:lvl w:ilvl="3" w:tplc="0409000F" w:tentative="1">
      <w:start w:val="1"/>
      <w:numFmt w:val="decimal"/>
      <w:lvlText w:val="%4."/>
      <w:lvlJc w:val="left"/>
      <w:pPr>
        <w:tabs>
          <w:tab w:val="num" w:pos="2908"/>
        </w:tabs>
        <w:ind w:left="2908" w:hanging="360"/>
      </w:pPr>
    </w:lvl>
    <w:lvl w:ilvl="4" w:tplc="04090019" w:tentative="1">
      <w:start w:val="1"/>
      <w:numFmt w:val="lowerLetter"/>
      <w:lvlText w:val="%5."/>
      <w:lvlJc w:val="left"/>
      <w:pPr>
        <w:tabs>
          <w:tab w:val="num" w:pos="3628"/>
        </w:tabs>
        <w:ind w:left="3628" w:hanging="360"/>
      </w:pPr>
    </w:lvl>
    <w:lvl w:ilvl="5" w:tplc="0409001B" w:tentative="1">
      <w:start w:val="1"/>
      <w:numFmt w:val="lowerRoman"/>
      <w:lvlText w:val="%6."/>
      <w:lvlJc w:val="right"/>
      <w:pPr>
        <w:tabs>
          <w:tab w:val="num" w:pos="4348"/>
        </w:tabs>
        <w:ind w:left="4348" w:hanging="180"/>
      </w:pPr>
    </w:lvl>
    <w:lvl w:ilvl="6" w:tplc="0409000F" w:tentative="1">
      <w:start w:val="1"/>
      <w:numFmt w:val="decimal"/>
      <w:lvlText w:val="%7."/>
      <w:lvlJc w:val="left"/>
      <w:pPr>
        <w:tabs>
          <w:tab w:val="num" w:pos="5068"/>
        </w:tabs>
        <w:ind w:left="5068" w:hanging="360"/>
      </w:pPr>
    </w:lvl>
    <w:lvl w:ilvl="7" w:tplc="04090019" w:tentative="1">
      <w:start w:val="1"/>
      <w:numFmt w:val="lowerLetter"/>
      <w:lvlText w:val="%8."/>
      <w:lvlJc w:val="left"/>
      <w:pPr>
        <w:tabs>
          <w:tab w:val="num" w:pos="5788"/>
        </w:tabs>
        <w:ind w:left="5788" w:hanging="360"/>
      </w:pPr>
    </w:lvl>
    <w:lvl w:ilvl="8" w:tplc="0409001B" w:tentative="1">
      <w:start w:val="1"/>
      <w:numFmt w:val="lowerRoman"/>
      <w:lvlText w:val="%9."/>
      <w:lvlJc w:val="right"/>
      <w:pPr>
        <w:tabs>
          <w:tab w:val="num" w:pos="6508"/>
        </w:tabs>
        <w:ind w:left="6508" w:hanging="180"/>
      </w:pPr>
    </w:lvl>
  </w:abstractNum>
  <w:abstractNum w:abstractNumId="25" w15:restartNumberingAfterBreak="0">
    <w:nsid w:val="500D4725"/>
    <w:multiLevelType w:val="hybridMultilevel"/>
    <w:tmpl w:val="0F7438F8"/>
    <w:lvl w:ilvl="0" w:tplc="0409000F">
      <w:start w:val="1"/>
      <w:numFmt w:val="decimal"/>
      <w:lvlText w:val="%1."/>
      <w:lvlJc w:val="left"/>
      <w:pPr>
        <w:tabs>
          <w:tab w:val="num" w:pos="748"/>
        </w:tabs>
        <w:ind w:left="748" w:hanging="360"/>
      </w:pPr>
    </w:lvl>
    <w:lvl w:ilvl="1" w:tplc="04090019" w:tentative="1">
      <w:start w:val="1"/>
      <w:numFmt w:val="lowerLetter"/>
      <w:lvlText w:val="%2."/>
      <w:lvlJc w:val="left"/>
      <w:pPr>
        <w:tabs>
          <w:tab w:val="num" w:pos="1468"/>
        </w:tabs>
        <w:ind w:left="1468" w:hanging="360"/>
      </w:pPr>
    </w:lvl>
    <w:lvl w:ilvl="2" w:tplc="0409001B" w:tentative="1">
      <w:start w:val="1"/>
      <w:numFmt w:val="lowerRoman"/>
      <w:lvlText w:val="%3."/>
      <w:lvlJc w:val="right"/>
      <w:pPr>
        <w:tabs>
          <w:tab w:val="num" w:pos="2188"/>
        </w:tabs>
        <w:ind w:left="2188" w:hanging="180"/>
      </w:pPr>
    </w:lvl>
    <w:lvl w:ilvl="3" w:tplc="0409000F" w:tentative="1">
      <w:start w:val="1"/>
      <w:numFmt w:val="decimal"/>
      <w:lvlText w:val="%4."/>
      <w:lvlJc w:val="left"/>
      <w:pPr>
        <w:tabs>
          <w:tab w:val="num" w:pos="2908"/>
        </w:tabs>
        <w:ind w:left="2908" w:hanging="360"/>
      </w:pPr>
    </w:lvl>
    <w:lvl w:ilvl="4" w:tplc="04090019" w:tentative="1">
      <w:start w:val="1"/>
      <w:numFmt w:val="lowerLetter"/>
      <w:lvlText w:val="%5."/>
      <w:lvlJc w:val="left"/>
      <w:pPr>
        <w:tabs>
          <w:tab w:val="num" w:pos="3628"/>
        </w:tabs>
        <w:ind w:left="3628" w:hanging="360"/>
      </w:pPr>
    </w:lvl>
    <w:lvl w:ilvl="5" w:tplc="0409001B" w:tentative="1">
      <w:start w:val="1"/>
      <w:numFmt w:val="lowerRoman"/>
      <w:lvlText w:val="%6."/>
      <w:lvlJc w:val="right"/>
      <w:pPr>
        <w:tabs>
          <w:tab w:val="num" w:pos="4348"/>
        </w:tabs>
        <w:ind w:left="4348" w:hanging="180"/>
      </w:pPr>
    </w:lvl>
    <w:lvl w:ilvl="6" w:tplc="0409000F" w:tentative="1">
      <w:start w:val="1"/>
      <w:numFmt w:val="decimal"/>
      <w:lvlText w:val="%7."/>
      <w:lvlJc w:val="left"/>
      <w:pPr>
        <w:tabs>
          <w:tab w:val="num" w:pos="5068"/>
        </w:tabs>
        <w:ind w:left="5068" w:hanging="360"/>
      </w:pPr>
    </w:lvl>
    <w:lvl w:ilvl="7" w:tplc="04090019" w:tentative="1">
      <w:start w:val="1"/>
      <w:numFmt w:val="lowerLetter"/>
      <w:lvlText w:val="%8."/>
      <w:lvlJc w:val="left"/>
      <w:pPr>
        <w:tabs>
          <w:tab w:val="num" w:pos="5788"/>
        </w:tabs>
        <w:ind w:left="5788" w:hanging="360"/>
      </w:pPr>
    </w:lvl>
    <w:lvl w:ilvl="8" w:tplc="0409001B" w:tentative="1">
      <w:start w:val="1"/>
      <w:numFmt w:val="lowerRoman"/>
      <w:lvlText w:val="%9."/>
      <w:lvlJc w:val="right"/>
      <w:pPr>
        <w:tabs>
          <w:tab w:val="num" w:pos="6508"/>
        </w:tabs>
        <w:ind w:left="6508" w:hanging="180"/>
      </w:pPr>
    </w:lvl>
  </w:abstractNum>
  <w:abstractNum w:abstractNumId="26" w15:restartNumberingAfterBreak="0">
    <w:nsid w:val="502E3919"/>
    <w:multiLevelType w:val="hybridMultilevel"/>
    <w:tmpl w:val="661EFD9C"/>
    <w:lvl w:ilvl="0" w:tplc="04090001">
      <w:start w:val="1"/>
      <w:numFmt w:val="bullet"/>
      <w:lvlText w:val=""/>
      <w:lvlJc w:val="left"/>
      <w:pPr>
        <w:ind w:left="748" w:hanging="360"/>
      </w:pPr>
      <w:rPr>
        <w:rFonts w:ascii="Symbol" w:hAnsi="Symbol" w:hint="default"/>
      </w:rPr>
    </w:lvl>
    <w:lvl w:ilvl="1" w:tplc="04090003" w:tentative="1">
      <w:start w:val="1"/>
      <w:numFmt w:val="bullet"/>
      <w:lvlText w:val="o"/>
      <w:lvlJc w:val="left"/>
      <w:pPr>
        <w:ind w:left="1468" w:hanging="360"/>
      </w:pPr>
      <w:rPr>
        <w:rFonts w:ascii="Courier New" w:hAnsi="Courier New" w:cs="Courier New" w:hint="default"/>
      </w:rPr>
    </w:lvl>
    <w:lvl w:ilvl="2" w:tplc="04090005" w:tentative="1">
      <w:start w:val="1"/>
      <w:numFmt w:val="bullet"/>
      <w:lvlText w:val=""/>
      <w:lvlJc w:val="left"/>
      <w:pPr>
        <w:ind w:left="2188" w:hanging="360"/>
      </w:pPr>
      <w:rPr>
        <w:rFonts w:ascii="Wingdings" w:hAnsi="Wingdings" w:hint="default"/>
      </w:rPr>
    </w:lvl>
    <w:lvl w:ilvl="3" w:tplc="04090001" w:tentative="1">
      <w:start w:val="1"/>
      <w:numFmt w:val="bullet"/>
      <w:lvlText w:val=""/>
      <w:lvlJc w:val="left"/>
      <w:pPr>
        <w:ind w:left="2908" w:hanging="360"/>
      </w:pPr>
      <w:rPr>
        <w:rFonts w:ascii="Symbol" w:hAnsi="Symbol" w:hint="default"/>
      </w:rPr>
    </w:lvl>
    <w:lvl w:ilvl="4" w:tplc="04090003" w:tentative="1">
      <w:start w:val="1"/>
      <w:numFmt w:val="bullet"/>
      <w:lvlText w:val="o"/>
      <w:lvlJc w:val="left"/>
      <w:pPr>
        <w:ind w:left="3628" w:hanging="360"/>
      </w:pPr>
      <w:rPr>
        <w:rFonts w:ascii="Courier New" w:hAnsi="Courier New" w:cs="Courier New" w:hint="default"/>
      </w:rPr>
    </w:lvl>
    <w:lvl w:ilvl="5" w:tplc="04090005" w:tentative="1">
      <w:start w:val="1"/>
      <w:numFmt w:val="bullet"/>
      <w:lvlText w:val=""/>
      <w:lvlJc w:val="left"/>
      <w:pPr>
        <w:ind w:left="4348" w:hanging="360"/>
      </w:pPr>
      <w:rPr>
        <w:rFonts w:ascii="Wingdings" w:hAnsi="Wingdings" w:hint="default"/>
      </w:rPr>
    </w:lvl>
    <w:lvl w:ilvl="6" w:tplc="04090001" w:tentative="1">
      <w:start w:val="1"/>
      <w:numFmt w:val="bullet"/>
      <w:lvlText w:val=""/>
      <w:lvlJc w:val="left"/>
      <w:pPr>
        <w:ind w:left="5068" w:hanging="360"/>
      </w:pPr>
      <w:rPr>
        <w:rFonts w:ascii="Symbol" w:hAnsi="Symbol" w:hint="default"/>
      </w:rPr>
    </w:lvl>
    <w:lvl w:ilvl="7" w:tplc="04090003" w:tentative="1">
      <w:start w:val="1"/>
      <w:numFmt w:val="bullet"/>
      <w:lvlText w:val="o"/>
      <w:lvlJc w:val="left"/>
      <w:pPr>
        <w:ind w:left="5788" w:hanging="360"/>
      </w:pPr>
      <w:rPr>
        <w:rFonts w:ascii="Courier New" w:hAnsi="Courier New" w:cs="Courier New" w:hint="default"/>
      </w:rPr>
    </w:lvl>
    <w:lvl w:ilvl="8" w:tplc="04090005" w:tentative="1">
      <w:start w:val="1"/>
      <w:numFmt w:val="bullet"/>
      <w:lvlText w:val=""/>
      <w:lvlJc w:val="left"/>
      <w:pPr>
        <w:ind w:left="6508" w:hanging="360"/>
      </w:pPr>
      <w:rPr>
        <w:rFonts w:ascii="Wingdings" w:hAnsi="Wingdings" w:hint="default"/>
      </w:rPr>
    </w:lvl>
  </w:abstractNum>
  <w:abstractNum w:abstractNumId="27" w15:restartNumberingAfterBreak="0">
    <w:nsid w:val="52705443"/>
    <w:multiLevelType w:val="hybridMultilevel"/>
    <w:tmpl w:val="B3DA5E5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68"/>
        </w:tabs>
        <w:ind w:left="1468" w:hanging="360"/>
      </w:pPr>
    </w:lvl>
    <w:lvl w:ilvl="2" w:tplc="0409001B" w:tentative="1">
      <w:start w:val="1"/>
      <w:numFmt w:val="lowerRoman"/>
      <w:lvlText w:val="%3."/>
      <w:lvlJc w:val="right"/>
      <w:pPr>
        <w:tabs>
          <w:tab w:val="num" w:pos="2188"/>
        </w:tabs>
        <w:ind w:left="2188" w:hanging="180"/>
      </w:pPr>
    </w:lvl>
    <w:lvl w:ilvl="3" w:tplc="0409000F" w:tentative="1">
      <w:start w:val="1"/>
      <w:numFmt w:val="decimal"/>
      <w:lvlText w:val="%4."/>
      <w:lvlJc w:val="left"/>
      <w:pPr>
        <w:tabs>
          <w:tab w:val="num" w:pos="2908"/>
        </w:tabs>
        <w:ind w:left="2908" w:hanging="360"/>
      </w:pPr>
    </w:lvl>
    <w:lvl w:ilvl="4" w:tplc="04090019" w:tentative="1">
      <w:start w:val="1"/>
      <w:numFmt w:val="lowerLetter"/>
      <w:lvlText w:val="%5."/>
      <w:lvlJc w:val="left"/>
      <w:pPr>
        <w:tabs>
          <w:tab w:val="num" w:pos="3628"/>
        </w:tabs>
        <w:ind w:left="3628" w:hanging="360"/>
      </w:pPr>
    </w:lvl>
    <w:lvl w:ilvl="5" w:tplc="0409001B" w:tentative="1">
      <w:start w:val="1"/>
      <w:numFmt w:val="lowerRoman"/>
      <w:lvlText w:val="%6."/>
      <w:lvlJc w:val="right"/>
      <w:pPr>
        <w:tabs>
          <w:tab w:val="num" w:pos="4348"/>
        </w:tabs>
        <w:ind w:left="4348" w:hanging="180"/>
      </w:pPr>
    </w:lvl>
    <w:lvl w:ilvl="6" w:tplc="0409000F" w:tentative="1">
      <w:start w:val="1"/>
      <w:numFmt w:val="decimal"/>
      <w:lvlText w:val="%7."/>
      <w:lvlJc w:val="left"/>
      <w:pPr>
        <w:tabs>
          <w:tab w:val="num" w:pos="5068"/>
        </w:tabs>
        <w:ind w:left="5068" w:hanging="360"/>
      </w:pPr>
    </w:lvl>
    <w:lvl w:ilvl="7" w:tplc="04090019" w:tentative="1">
      <w:start w:val="1"/>
      <w:numFmt w:val="lowerLetter"/>
      <w:lvlText w:val="%8."/>
      <w:lvlJc w:val="left"/>
      <w:pPr>
        <w:tabs>
          <w:tab w:val="num" w:pos="5788"/>
        </w:tabs>
        <w:ind w:left="5788" w:hanging="360"/>
      </w:pPr>
    </w:lvl>
    <w:lvl w:ilvl="8" w:tplc="0409001B" w:tentative="1">
      <w:start w:val="1"/>
      <w:numFmt w:val="lowerRoman"/>
      <w:lvlText w:val="%9."/>
      <w:lvlJc w:val="right"/>
      <w:pPr>
        <w:tabs>
          <w:tab w:val="num" w:pos="6508"/>
        </w:tabs>
        <w:ind w:left="6508" w:hanging="180"/>
      </w:pPr>
    </w:lvl>
  </w:abstractNum>
  <w:abstractNum w:abstractNumId="28" w15:restartNumberingAfterBreak="0">
    <w:nsid w:val="56635BFD"/>
    <w:multiLevelType w:val="hybridMultilevel"/>
    <w:tmpl w:val="A8FEAA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0BD0C10"/>
    <w:multiLevelType w:val="hybridMultilevel"/>
    <w:tmpl w:val="FA30A8D0"/>
    <w:lvl w:ilvl="0" w:tplc="0409000F">
      <w:start w:val="1"/>
      <w:numFmt w:val="decimal"/>
      <w:lvlText w:val="%1."/>
      <w:lvlJc w:val="left"/>
      <w:pPr>
        <w:tabs>
          <w:tab w:val="num" w:pos="810"/>
        </w:tabs>
        <w:ind w:left="810" w:hanging="360"/>
      </w:p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30" w15:restartNumberingAfterBreak="0">
    <w:nsid w:val="6B0B5F7D"/>
    <w:multiLevelType w:val="hybridMultilevel"/>
    <w:tmpl w:val="27BA64C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BFA1DAB"/>
    <w:multiLevelType w:val="hybridMultilevel"/>
    <w:tmpl w:val="C6A09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7812FB"/>
    <w:multiLevelType w:val="hybridMultilevel"/>
    <w:tmpl w:val="9ADC4E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79C6C2A"/>
    <w:multiLevelType w:val="hybridMultilevel"/>
    <w:tmpl w:val="8584AA08"/>
    <w:lvl w:ilvl="0" w:tplc="0409000F">
      <w:start w:val="1"/>
      <w:numFmt w:val="decimal"/>
      <w:lvlText w:val="%1."/>
      <w:lvlJc w:val="left"/>
      <w:pPr>
        <w:tabs>
          <w:tab w:val="num" w:pos="748"/>
        </w:tabs>
        <w:ind w:left="748" w:hanging="360"/>
      </w:pPr>
    </w:lvl>
    <w:lvl w:ilvl="1" w:tplc="04090019">
      <w:start w:val="1"/>
      <w:numFmt w:val="lowerLetter"/>
      <w:lvlText w:val="%2."/>
      <w:lvlJc w:val="left"/>
      <w:pPr>
        <w:tabs>
          <w:tab w:val="num" w:pos="1468"/>
        </w:tabs>
        <w:ind w:left="1468" w:hanging="360"/>
      </w:pPr>
    </w:lvl>
    <w:lvl w:ilvl="2" w:tplc="0409001B" w:tentative="1">
      <w:start w:val="1"/>
      <w:numFmt w:val="lowerRoman"/>
      <w:lvlText w:val="%3."/>
      <w:lvlJc w:val="right"/>
      <w:pPr>
        <w:tabs>
          <w:tab w:val="num" w:pos="2188"/>
        </w:tabs>
        <w:ind w:left="2188" w:hanging="180"/>
      </w:pPr>
    </w:lvl>
    <w:lvl w:ilvl="3" w:tplc="0409000F" w:tentative="1">
      <w:start w:val="1"/>
      <w:numFmt w:val="decimal"/>
      <w:lvlText w:val="%4."/>
      <w:lvlJc w:val="left"/>
      <w:pPr>
        <w:tabs>
          <w:tab w:val="num" w:pos="2908"/>
        </w:tabs>
        <w:ind w:left="2908" w:hanging="360"/>
      </w:pPr>
    </w:lvl>
    <w:lvl w:ilvl="4" w:tplc="04090019" w:tentative="1">
      <w:start w:val="1"/>
      <w:numFmt w:val="lowerLetter"/>
      <w:lvlText w:val="%5."/>
      <w:lvlJc w:val="left"/>
      <w:pPr>
        <w:tabs>
          <w:tab w:val="num" w:pos="3628"/>
        </w:tabs>
        <w:ind w:left="3628" w:hanging="360"/>
      </w:pPr>
    </w:lvl>
    <w:lvl w:ilvl="5" w:tplc="0409001B" w:tentative="1">
      <w:start w:val="1"/>
      <w:numFmt w:val="lowerRoman"/>
      <w:lvlText w:val="%6."/>
      <w:lvlJc w:val="right"/>
      <w:pPr>
        <w:tabs>
          <w:tab w:val="num" w:pos="4348"/>
        </w:tabs>
        <w:ind w:left="4348" w:hanging="180"/>
      </w:pPr>
    </w:lvl>
    <w:lvl w:ilvl="6" w:tplc="0409000F" w:tentative="1">
      <w:start w:val="1"/>
      <w:numFmt w:val="decimal"/>
      <w:lvlText w:val="%7."/>
      <w:lvlJc w:val="left"/>
      <w:pPr>
        <w:tabs>
          <w:tab w:val="num" w:pos="5068"/>
        </w:tabs>
        <w:ind w:left="5068" w:hanging="360"/>
      </w:pPr>
    </w:lvl>
    <w:lvl w:ilvl="7" w:tplc="04090019" w:tentative="1">
      <w:start w:val="1"/>
      <w:numFmt w:val="lowerLetter"/>
      <w:lvlText w:val="%8."/>
      <w:lvlJc w:val="left"/>
      <w:pPr>
        <w:tabs>
          <w:tab w:val="num" w:pos="5788"/>
        </w:tabs>
        <w:ind w:left="5788" w:hanging="360"/>
      </w:pPr>
    </w:lvl>
    <w:lvl w:ilvl="8" w:tplc="0409001B" w:tentative="1">
      <w:start w:val="1"/>
      <w:numFmt w:val="lowerRoman"/>
      <w:lvlText w:val="%9."/>
      <w:lvlJc w:val="right"/>
      <w:pPr>
        <w:tabs>
          <w:tab w:val="num" w:pos="6508"/>
        </w:tabs>
        <w:ind w:left="6508" w:hanging="180"/>
      </w:pPr>
    </w:lvl>
  </w:abstractNum>
  <w:abstractNum w:abstractNumId="34" w15:restartNumberingAfterBreak="0">
    <w:nsid w:val="7A975560"/>
    <w:multiLevelType w:val="hybridMultilevel"/>
    <w:tmpl w:val="FDEC15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816836"/>
    <w:multiLevelType w:val="hybridMultilevel"/>
    <w:tmpl w:val="7DBAC8F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EF25627"/>
    <w:multiLevelType w:val="hybridMultilevel"/>
    <w:tmpl w:val="C0FAB05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30"/>
  </w:num>
  <w:num w:numId="11">
    <w:abstractNumId w:val="21"/>
  </w:num>
  <w:num w:numId="12">
    <w:abstractNumId w:val="5"/>
  </w:num>
  <w:num w:numId="13">
    <w:abstractNumId w:val="23"/>
  </w:num>
  <w:num w:numId="14">
    <w:abstractNumId w:val="34"/>
  </w:num>
  <w:num w:numId="15">
    <w:abstractNumId w:val="25"/>
  </w:num>
  <w:num w:numId="16">
    <w:abstractNumId w:val="33"/>
  </w:num>
  <w:num w:numId="17">
    <w:abstractNumId w:val="16"/>
  </w:num>
  <w:num w:numId="18">
    <w:abstractNumId w:val="29"/>
  </w:num>
  <w:num w:numId="19">
    <w:abstractNumId w:val="24"/>
  </w:num>
  <w:num w:numId="20">
    <w:abstractNumId w:val="2"/>
  </w:num>
  <w:num w:numId="21">
    <w:abstractNumId w:val="35"/>
  </w:num>
  <w:num w:numId="22">
    <w:abstractNumId w:val="10"/>
  </w:num>
  <w:num w:numId="23">
    <w:abstractNumId w:val="7"/>
  </w:num>
  <w:num w:numId="24">
    <w:abstractNumId w:val="15"/>
  </w:num>
  <w:num w:numId="25">
    <w:abstractNumId w:val="28"/>
  </w:num>
  <w:num w:numId="26">
    <w:abstractNumId w:val="14"/>
  </w:num>
  <w:num w:numId="27">
    <w:abstractNumId w:val="20"/>
  </w:num>
  <w:num w:numId="28">
    <w:abstractNumId w:val="27"/>
  </w:num>
  <w:num w:numId="29">
    <w:abstractNumId w:val="22"/>
  </w:num>
  <w:num w:numId="30">
    <w:abstractNumId w:val="11"/>
  </w:num>
  <w:num w:numId="31">
    <w:abstractNumId w:val="4"/>
  </w:num>
  <w:num w:numId="32">
    <w:abstractNumId w:val="18"/>
  </w:num>
  <w:num w:numId="33">
    <w:abstractNumId w:val="8"/>
  </w:num>
  <w:num w:numId="34">
    <w:abstractNumId w:val="17"/>
  </w:num>
  <w:num w:numId="35">
    <w:abstractNumId w:val="3"/>
  </w:num>
  <w:num w:numId="36">
    <w:abstractNumId w:val="1"/>
  </w:num>
  <w:num w:numId="37">
    <w:abstractNumId w:val="36"/>
  </w:num>
  <w:num w:numId="38">
    <w:abstractNumId w:val="31"/>
  </w:num>
  <w:num w:numId="39">
    <w:abstractNumId w:val="32"/>
  </w:num>
  <w:num w:numId="40">
    <w:abstractNumId w:val="26"/>
  </w:num>
  <w:num w:numId="41">
    <w:abstractNumId w:val="13"/>
  </w:num>
  <w:num w:numId="42">
    <w:abstractNumId w:val="9"/>
  </w:num>
  <w:num w:numId="43">
    <w:abstractNumId w:val="6"/>
  </w:num>
  <w:num w:numId="44">
    <w:abstractNumId w:val="19"/>
  </w:num>
  <w:num w:numId="4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DFTemplateID" w:val="pmmful"/>
    <w:docVar w:name="Author" w:val="Author's name here"/>
    <w:docVar w:name="company" w:val="IBM"/>
    <w:docVar w:name="CopyComp" w:val="IBM Corporation 2005"/>
    <w:docVar w:name="CopyCust" w:val="© "/>
    <w:docVar w:name="copyright" w:val="company"/>
    <w:docVar w:name="customer" w:val="NiSource"/>
    <w:docVar w:name="Date" w:val="2005/10/26"/>
    <w:docVar w:name="dateformat" w:val="yyyy/mm/dd"/>
    <w:docVar w:name="DateSequence" w:val="ymd"/>
    <w:docVar w:name="ID" w:val="pmmful"/>
    <w:docVar w:name="Language" w:val="us"/>
    <w:docVar w:name="LAuthor" w:val="Author:"/>
    <w:docVar w:name="Lcustomer" w:val="Customer:"/>
    <w:docVar w:name="LDate" w:val="Date:"/>
    <w:docVar w:name="LDocument" w:val="Document:"/>
    <w:docVar w:name="LForm" w:val="pmmful"/>
    <w:docVar w:name="LongDate" w:val="October 26, 2005"/>
    <w:docVar w:name="LOwner" w:val="Owner:"/>
    <w:docVar w:name="LPath" w:val="Path:"/>
    <w:docVar w:name="LStatus" w:val="Status:"/>
    <w:docVar w:name="LSubject" w:val="Subject:"/>
    <w:docVar w:name="LVersion" w:val="Version:"/>
    <w:docVar w:name="MonthNo" w:val="10"/>
    <w:docVar w:name="Owner" w:val="Owner's name here"/>
    <w:docVar w:name="projectname" w:val="Include Tower name: Project name here"/>
    <w:docVar w:name="securityclass" w:val="UNCLS"/>
    <w:docVar w:name="securitytype" w:val="company"/>
    <w:docVar w:name="Status" w:val="Draft"/>
    <w:docVar w:name="StatusValue" w:val="Draft"/>
    <w:docVar w:name="Subject" w:val="(primary title)"/>
    <w:docVar w:name="TApprovals" w:val="Approvals"/>
    <w:docVar w:name="TChangesMarked" w:val="Changes marked"/>
    <w:docVar w:name="TContents" w:val="Contents"/>
    <w:docVar w:name="TDateOfNextRevision" w:val="Date of next revision"/>
    <w:docVar w:name="TDateOfThisRevision" w:val="Date of this revision"/>
    <w:docVar w:name="TDistribution" w:val="Distribution"/>
    <w:docVar w:name="TDocumentHistory" w:val="Document History"/>
    <w:docVar w:name="TDocumentLocation" w:val="Document Location"/>
    <w:docVar w:name="TDocumentSource" w:val="The source of the document will be found in"/>
    <w:docVar w:name="TDocumentValid" w:val="This is a snapshot of an on-line document. Paper copies are valid only on the day they are printed. Refer to the author if you are in any doubt about the currency of this document."/>
    <w:docVar w:name="Text1" w:val="TTTTTTTT"/>
    <w:docVar w:name="Text2" w:val="sssssssss"/>
    <w:docVar w:name="THasBeenDistributedTo" w:val="This document has been distributed to"/>
    <w:docVar w:name="TName" w:val="Name"/>
    <w:docVar w:name="Tof" w:val="of"/>
    <w:docVar w:name="TPage" w:val="Page"/>
    <w:docVar w:name="TRequiredApprovals" w:val="This document requires following approvals. Signed approval forms are filed in the Quality section of the PCB."/>
    <w:docVar w:name="TRevisionDate" w:val="Revision Date"/>
    <w:docVar w:name="TRevisionHistory" w:val="Revision History"/>
    <w:docVar w:name="TRevisionNumber" w:val="Revision Number"/>
    <w:docVar w:name="TSummaryOfChanges" w:val="Summary of Changes"/>
    <w:docVar w:name="TTitle" w:val="Title"/>
    <w:docVar w:name="Version" w:val="V1.0.0A"/>
  </w:docVars>
  <w:rsids>
    <w:rsidRoot w:val="008120E5"/>
    <w:rsid w:val="00001872"/>
    <w:rsid w:val="000026D0"/>
    <w:rsid w:val="00005991"/>
    <w:rsid w:val="00007376"/>
    <w:rsid w:val="000103A4"/>
    <w:rsid w:val="000104D5"/>
    <w:rsid w:val="00013E7F"/>
    <w:rsid w:val="00014552"/>
    <w:rsid w:val="000159EF"/>
    <w:rsid w:val="00016CB7"/>
    <w:rsid w:val="00017AAF"/>
    <w:rsid w:val="00021150"/>
    <w:rsid w:val="000215A2"/>
    <w:rsid w:val="00021E52"/>
    <w:rsid w:val="00021EBC"/>
    <w:rsid w:val="00024C25"/>
    <w:rsid w:val="0002523F"/>
    <w:rsid w:val="000260D4"/>
    <w:rsid w:val="00026721"/>
    <w:rsid w:val="00031CCF"/>
    <w:rsid w:val="0003539F"/>
    <w:rsid w:val="0003709F"/>
    <w:rsid w:val="00037BC5"/>
    <w:rsid w:val="00040818"/>
    <w:rsid w:val="00042FD3"/>
    <w:rsid w:val="000453CB"/>
    <w:rsid w:val="00046E79"/>
    <w:rsid w:val="00047890"/>
    <w:rsid w:val="00052378"/>
    <w:rsid w:val="0005290D"/>
    <w:rsid w:val="00052BD2"/>
    <w:rsid w:val="00056584"/>
    <w:rsid w:val="00056DEF"/>
    <w:rsid w:val="00057B83"/>
    <w:rsid w:val="00060ACE"/>
    <w:rsid w:val="000611B3"/>
    <w:rsid w:val="0006160E"/>
    <w:rsid w:val="00063944"/>
    <w:rsid w:val="00063CD0"/>
    <w:rsid w:val="00064939"/>
    <w:rsid w:val="0006524D"/>
    <w:rsid w:val="00065F39"/>
    <w:rsid w:val="000662C8"/>
    <w:rsid w:val="00070D1B"/>
    <w:rsid w:val="00071639"/>
    <w:rsid w:val="000747D9"/>
    <w:rsid w:val="000754E6"/>
    <w:rsid w:val="0007571D"/>
    <w:rsid w:val="00075A9C"/>
    <w:rsid w:val="00077712"/>
    <w:rsid w:val="00080CE9"/>
    <w:rsid w:val="00084506"/>
    <w:rsid w:val="00086D73"/>
    <w:rsid w:val="000911DE"/>
    <w:rsid w:val="0009137A"/>
    <w:rsid w:val="00096CDC"/>
    <w:rsid w:val="00096EB5"/>
    <w:rsid w:val="000A10AC"/>
    <w:rsid w:val="000B1351"/>
    <w:rsid w:val="000B5092"/>
    <w:rsid w:val="000B50F3"/>
    <w:rsid w:val="000C20DE"/>
    <w:rsid w:val="000C2596"/>
    <w:rsid w:val="000C30DF"/>
    <w:rsid w:val="000C425B"/>
    <w:rsid w:val="000C737C"/>
    <w:rsid w:val="000C7D3B"/>
    <w:rsid w:val="000D36B4"/>
    <w:rsid w:val="000D52F8"/>
    <w:rsid w:val="000D73C8"/>
    <w:rsid w:val="000D77FE"/>
    <w:rsid w:val="000D780D"/>
    <w:rsid w:val="000E3663"/>
    <w:rsid w:val="000E3C75"/>
    <w:rsid w:val="000E7576"/>
    <w:rsid w:val="000E7696"/>
    <w:rsid w:val="000F134A"/>
    <w:rsid w:val="000F4221"/>
    <w:rsid w:val="000F6DF7"/>
    <w:rsid w:val="000F76DB"/>
    <w:rsid w:val="000F7E84"/>
    <w:rsid w:val="00100EE2"/>
    <w:rsid w:val="001015BF"/>
    <w:rsid w:val="00103C0F"/>
    <w:rsid w:val="00104FDB"/>
    <w:rsid w:val="001056D0"/>
    <w:rsid w:val="00106C4A"/>
    <w:rsid w:val="001073BE"/>
    <w:rsid w:val="00107648"/>
    <w:rsid w:val="001125AB"/>
    <w:rsid w:val="00113DF7"/>
    <w:rsid w:val="00113F54"/>
    <w:rsid w:val="00114FE1"/>
    <w:rsid w:val="001155A6"/>
    <w:rsid w:val="0012141B"/>
    <w:rsid w:val="00121B94"/>
    <w:rsid w:val="00121BD7"/>
    <w:rsid w:val="00123F29"/>
    <w:rsid w:val="00124755"/>
    <w:rsid w:val="00127970"/>
    <w:rsid w:val="00131AAC"/>
    <w:rsid w:val="00131FF1"/>
    <w:rsid w:val="00132529"/>
    <w:rsid w:val="00133501"/>
    <w:rsid w:val="0013557D"/>
    <w:rsid w:val="00136B62"/>
    <w:rsid w:val="001373D3"/>
    <w:rsid w:val="00137A26"/>
    <w:rsid w:val="00140A74"/>
    <w:rsid w:val="00140C37"/>
    <w:rsid w:val="00141532"/>
    <w:rsid w:val="00141B5F"/>
    <w:rsid w:val="001514E9"/>
    <w:rsid w:val="00153B18"/>
    <w:rsid w:val="00160C42"/>
    <w:rsid w:val="001623CF"/>
    <w:rsid w:val="001632C7"/>
    <w:rsid w:val="00163761"/>
    <w:rsid w:val="001653B5"/>
    <w:rsid w:val="00165E60"/>
    <w:rsid w:val="00167CFD"/>
    <w:rsid w:val="001719E6"/>
    <w:rsid w:val="00172783"/>
    <w:rsid w:val="00173054"/>
    <w:rsid w:val="0017532E"/>
    <w:rsid w:val="001839B9"/>
    <w:rsid w:val="001867E8"/>
    <w:rsid w:val="001929BF"/>
    <w:rsid w:val="0019342E"/>
    <w:rsid w:val="0019656E"/>
    <w:rsid w:val="001A003F"/>
    <w:rsid w:val="001A1F48"/>
    <w:rsid w:val="001A2D50"/>
    <w:rsid w:val="001A3CE8"/>
    <w:rsid w:val="001A5D42"/>
    <w:rsid w:val="001A68E0"/>
    <w:rsid w:val="001A7D3E"/>
    <w:rsid w:val="001B1A21"/>
    <w:rsid w:val="001B375D"/>
    <w:rsid w:val="001B3CE2"/>
    <w:rsid w:val="001B4923"/>
    <w:rsid w:val="001B4B6E"/>
    <w:rsid w:val="001B4FC7"/>
    <w:rsid w:val="001B6D5C"/>
    <w:rsid w:val="001C153A"/>
    <w:rsid w:val="001C30C5"/>
    <w:rsid w:val="001C3B3C"/>
    <w:rsid w:val="001C522A"/>
    <w:rsid w:val="001D3A3B"/>
    <w:rsid w:val="001D3AE9"/>
    <w:rsid w:val="001D3CB3"/>
    <w:rsid w:val="001D4A48"/>
    <w:rsid w:val="001D4E41"/>
    <w:rsid w:val="001E269F"/>
    <w:rsid w:val="001E2A83"/>
    <w:rsid w:val="001E72F9"/>
    <w:rsid w:val="001F126C"/>
    <w:rsid w:val="001F20F0"/>
    <w:rsid w:val="001F420A"/>
    <w:rsid w:val="001F5561"/>
    <w:rsid w:val="00201C74"/>
    <w:rsid w:val="002026C6"/>
    <w:rsid w:val="00202778"/>
    <w:rsid w:val="002040CF"/>
    <w:rsid w:val="00204D70"/>
    <w:rsid w:val="002106D5"/>
    <w:rsid w:val="002113D6"/>
    <w:rsid w:val="0021219C"/>
    <w:rsid w:val="00213D6D"/>
    <w:rsid w:val="002151DB"/>
    <w:rsid w:val="002153F9"/>
    <w:rsid w:val="00216C4E"/>
    <w:rsid w:val="0021700B"/>
    <w:rsid w:val="00220934"/>
    <w:rsid w:val="00221176"/>
    <w:rsid w:val="00224D2D"/>
    <w:rsid w:val="0022625E"/>
    <w:rsid w:val="0022684D"/>
    <w:rsid w:val="00226A65"/>
    <w:rsid w:val="00226BA6"/>
    <w:rsid w:val="00226F4C"/>
    <w:rsid w:val="002275AE"/>
    <w:rsid w:val="002305B0"/>
    <w:rsid w:val="0023252D"/>
    <w:rsid w:val="002333CC"/>
    <w:rsid w:val="00235986"/>
    <w:rsid w:val="00236859"/>
    <w:rsid w:val="00236B1E"/>
    <w:rsid w:val="002371A1"/>
    <w:rsid w:val="00237DF8"/>
    <w:rsid w:val="0024219C"/>
    <w:rsid w:val="002521C0"/>
    <w:rsid w:val="00252773"/>
    <w:rsid w:val="002533E0"/>
    <w:rsid w:val="00255746"/>
    <w:rsid w:val="002566EF"/>
    <w:rsid w:val="00256B42"/>
    <w:rsid w:val="002577F2"/>
    <w:rsid w:val="00257997"/>
    <w:rsid w:val="0026039B"/>
    <w:rsid w:val="00262175"/>
    <w:rsid w:val="00262D8B"/>
    <w:rsid w:val="00262E12"/>
    <w:rsid w:val="00263D41"/>
    <w:rsid w:val="002745A8"/>
    <w:rsid w:val="00275140"/>
    <w:rsid w:val="00275B15"/>
    <w:rsid w:val="00275F8C"/>
    <w:rsid w:val="00281740"/>
    <w:rsid w:val="00284B37"/>
    <w:rsid w:val="00284E8E"/>
    <w:rsid w:val="002901B8"/>
    <w:rsid w:val="002913E2"/>
    <w:rsid w:val="00295306"/>
    <w:rsid w:val="002956BD"/>
    <w:rsid w:val="00295DED"/>
    <w:rsid w:val="0029735B"/>
    <w:rsid w:val="002A0F89"/>
    <w:rsid w:val="002A11F7"/>
    <w:rsid w:val="002A49B2"/>
    <w:rsid w:val="002A619A"/>
    <w:rsid w:val="002A636D"/>
    <w:rsid w:val="002A64D5"/>
    <w:rsid w:val="002A67B5"/>
    <w:rsid w:val="002A7651"/>
    <w:rsid w:val="002B0612"/>
    <w:rsid w:val="002B45E1"/>
    <w:rsid w:val="002B6421"/>
    <w:rsid w:val="002C1982"/>
    <w:rsid w:val="002C2A3D"/>
    <w:rsid w:val="002C3D6E"/>
    <w:rsid w:val="002C48F8"/>
    <w:rsid w:val="002C5D95"/>
    <w:rsid w:val="002C7F79"/>
    <w:rsid w:val="002D2A96"/>
    <w:rsid w:val="002D5A6F"/>
    <w:rsid w:val="002D7129"/>
    <w:rsid w:val="002E22D6"/>
    <w:rsid w:val="002F2539"/>
    <w:rsid w:val="002F28AC"/>
    <w:rsid w:val="002F291A"/>
    <w:rsid w:val="002F590C"/>
    <w:rsid w:val="002F65D8"/>
    <w:rsid w:val="002F6F04"/>
    <w:rsid w:val="002F7756"/>
    <w:rsid w:val="002F7F7B"/>
    <w:rsid w:val="00300157"/>
    <w:rsid w:val="003011CE"/>
    <w:rsid w:val="00304175"/>
    <w:rsid w:val="00304B4F"/>
    <w:rsid w:val="00304D75"/>
    <w:rsid w:val="00307924"/>
    <w:rsid w:val="00310F22"/>
    <w:rsid w:val="0031377F"/>
    <w:rsid w:val="0031404D"/>
    <w:rsid w:val="003149D8"/>
    <w:rsid w:val="00317C8C"/>
    <w:rsid w:val="00324074"/>
    <w:rsid w:val="00324569"/>
    <w:rsid w:val="00324A37"/>
    <w:rsid w:val="00325690"/>
    <w:rsid w:val="00325EA2"/>
    <w:rsid w:val="0032619B"/>
    <w:rsid w:val="00327207"/>
    <w:rsid w:val="00333C89"/>
    <w:rsid w:val="00341BA9"/>
    <w:rsid w:val="00341BFC"/>
    <w:rsid w:val="00342736"/>
    <w:rsid w:val="00346037"/>
    <w:rsid w:val="00346927"/>
    <w:rsid w:val="00346E5B"/>
    <w:rsid w:val="00346E7A"/>
    <w:rsid w:val="0034714E"/>
    <w:rsid w:val="00353CE5"/>
    <w:rsid w:val="00356555"/>
    <w:rsid w:val="0036068D"/>
    <w:rsid w:val="00363092"/>
    <w:rsid w:val="003658D6"/>
    <w:rsid w:val="00365DBD"/>
    <w:rsid w:val="00366986"/>
    <w:rsid w:val="00367C73"/>
    <w:rsid w:val="00367E5F"/>
    <w:rsid w:val="003711A3"/>
    <w:rsid w:val="00377F20"/>
    <w:rsid w:val="00382B01"/>
    <w:rsid w:val="0038366E"/>
    <w:rsid w:val="0038598C"/>
    <w:rsid w:val="00387F6A"/>
    <w:rsid w:val="0039126C"/>
    <w:rsid w:val="0039280C"/>
    <w:rsid w:val="00393883"/>
    <w:rsid w:val="003940BC"/>
    <w:rsid w:val="0039413C"/>
    <w:rsid w:val="00395BCB"/>
    <w:rsid w:val="00396790"/>
    <w:rsid w:val="003A0163"/>
    <w:rsid w:val="003A34AE"/>
    <w:rsid w:val="003A5490"/>
    <w:rsid w:val="003A645B"/>
    <w:rsid w:val="003B3ED4"/>
    <w:rsid w:val="003B424C"/>
    <w:rsid w:val="003B5E28"/>
    <w:rsid w:val="003B64D6"/>
    <w:rsid w:val="003B6501"/>
    <w:rsid w:val="003B69DC"/>
    <w:rsid w:val="003B73A7"/>
    <w:rsid w:val="003B7BCB"/>
    <w:rsid w:val="003C076F"/>
    <w:rsid w:val="003C1F78"/>
    <w:rsid w:val="003C2192"/>
    <w:rsid w:val="003C300D"/>
    <w:rsid w:val="003C4989"/>
    <w:rsid w:val="003C6BD0"/>
    <w:rsid w:val="003C7CE2"/>
    <w:rsid w:val="003D33E1"/>
    <w:rsid w:val="003D379A"/>
    <w:rsid w:val="003D4B49"/>
    <w:rsid w:val="003D6893"/>
    <w:rsid w:val="003D73DE"/>
    <w:rsid w:val="003D7C5A"/>
    <w:rsid w:val="003E2AA5"/>
    <w:rsid w:val="003E676B"/>
    <w:rsid w:val="003E73A3"/>
    <w:rsid w:val="003F5796"/>
    <w:rsid w:val="003F75EA"/>
    <w:rsid w:val="0040558A"/>
    <w:rsid w:val="0040593D"/>
    <w:rsid w:val="00406EB0"/>
    <w:rsid w:val="004115EE"/>
    <w:rsid w:val="004119C6"/>
    <w:rsid w:val="00412BAB"/>
    <w:rsid w:val="00412DE3"/>
    <w:rsid w:val="004130A2"/>
    <w:rsid w:val="0041441E"/>
    <w:rsid w:val="00414725"/>
    <w:rsid w:val="00420E10"/>
    <w:rsid w:val="0042199E"/>
    <w:rsid w:val="00427CDC"/>
    <w:rsid w:val="00430F2C"/>
    <w:rsid w:val="004313FF"/>
    <w:rsid w:val="00432B98"/>
    <w:rsid w:val="00433301"/>
    <w:rsid w:val="004352BD"/>
    <w:rsid w:val="004376B0"/>
    <w:rsid w:val="00437E6B"/>
    <w:rsid w:val="00440FFF"/>
    <w:rsid w:val="00442B54"/>
    <w:rsid w:val="00442D1D"/>
    <w:rsid w:val="0044409E"/>
    <w:rsid w:val="00445CF1"/>
    <w:rsid w:val="00447765"/>
    <w:rsid w:val="00450958"/>
    <w:rsid w:val="00457456"/>
    <w:rsid w:val="00464DCD"/>
    <w:rsid w:val="00465214"/>
    <w:rsid w:val="00465F16"/>
    <w:rsid w:val="00470617"/>
    <w:rsid w:val="00475C34"/>
    <w:rsid w:val="004809C8"/>
    <w:rsid w:val="00483399"/>
    <w:rsid w:val="00484351"/>
    <w:rsid w:val="00485011"/>
    <w:rsid w:val="004858A8"/>
    <w:rsid w:val="00485FC2"/>
    <w:rsid w:val="004866F2"/>
    <w:rsid w:val="0049704D"/>
    <w:rsid w:val="004A6908"/>
    <w:rsid w:val="004B1B34"/>
    <w:rsid w:val="004B3249"/>
    <w:rsid w:val="004B48EA"/>
    <w:rsid w:val="004B59CE"/>
    <w:rsid w:val="004B62D3"/>
    <w:rsid w:val="004B672A"/>
    <w:rsid w:val="004C03E2"/>
    <w:rsid w:val="004C0B29"/>
    <w:rsid w:val="004C1425"/>
    <w:rsid w:val="004C3164"/>
    <w:rsid w:val="004C3FD8"/>
    <w:rsid w:val="004C7402"/>
    <w:rsid w:val="004C78C9"/>
    <w:rsid w:val="004D46FC"/>
    <w:rsid w:val="004D79B4"/>
    <w:rsid w:val="004E2144"/>
    <w:rsid w:val="004E5E33"/>
    <w:rsid w:val="004F1401"/>
    <w:rsid w:val="004F3F4E"/>
    <w:rsid w:val="004F4325"/>
    <w:rsid w:val="004F45EB"/>
    <w:rsid w:val="004F5433"/>
    <w:rsid w:val="004F63B2"/>
    <w:rsid w:val="004F784E"/>
    <w:rsid w:val="005075FD"/>
    <w:rsid w:val="00507A48"/>
    <w:rsid w:val="00510FA1"/>
    <w:rsid w:val="00516A22"/>
    <w:rsid w:val="00520DEB"/>
    <w:rsid w:val="00520F81"/>
    <w:rsid w:val="00522C4F"/>
    <w:rsid w:val="0052621F"/>
    <w:rsid w:val="0052750B"/>
    <w:rsid w:val="005278BF"/>
    <w:rsid w:val="00532280"/>
    <w:rsid w:val="0053259D"/>
    <w:rsid w:val="005331A9"/>
    <w:rsid w:val="005336C2"/>
    <w:rsid w:val="00533C6A"/>
    <w:rsid w:val="00537610"/>
    <w:rsid w:val="005377ED"/>
    <w:rsid w:val="00537F3E"/>
    <w:rsid w:val="005400B1"/>
    <w:rsid w:val="00540472"/>
    <w:rsid w:val="0054201B"/>
    <w:rsid w:val="00542403"/>
    <w:rsid w:val="00546476"/>
    <w:rsid w:val="0055006D"/>
    <w:rsid w:val="005525A2"/>
    <w:rsid w:val="00552A68"/>
    <w:rsid w:val="00553CFC"/>
    <w:rsid w:val="0055689C"/>
    <w:rsid w:val="00560B52"/>
    <w:rsid w:val="00570D40"/>
    <w:rsid w:val="005742BA"/>
    <w:rsid w:val="005742CE"/>
    <w:rsid w:val="005756D6"/>
    <w:rsid w:val="0057616C"/>
    <w:rsid w:val="005802FE"/>
    <w:rsid w:val="005809A0"/>
    <w:rsid w:val="0058108E"/>
    <w:rsid w:val="0058252D"/>
    <w:rsid w:val="00582C99"/>
    <w:rsid w:val="00582E1E"/>
    <w:rsid w:val="00585A82"/>
    <w:rsid w:val="005862FE"/>
    <w:rsid w:val="00595B7E"/>
    <w:rsid w:val="005963A6"/>
    <w:rsid w:val="0059764F"/>
    <w:rsid w:val="005A06DB"/>
    <w:rsid w:val="005A1D8A"/>
    <w:rsid w:val="005A277B"/>
    <w:rsid w:val="005A49B4"/>
    <w:rsid w:val="005A5627"/>
    <w:rsid w:val="005A6914"/>
    <w:rsid w:val="005A728C"/>
    <w:rsid w:val="005B2263"/>
    <w:rsid w:val="005B3BFB"/>
    <w:rsid w:val="005B6CF9"/>
    <w:rsid w:val="005B7630"/>
    <w:rsid w:val="005C08C3"/>
    <w:rsid w:val="005C166F"/>
    <w:rsid w:val="005C1E62"/>
    <w:rsid w:val="005C5560"/>
    <w:rsid w:val="005C5A7E"/>
    <w:rsid w:val="005C5EBE"/>
    <w:rsid w:val="005D32EF"/>
    <w:rsid w:val="005D4353"/>
    <w:rsid w:val="005D53BB"/>
    <w:rsid w:val="005D7F6A"/>
    <w:rsid w:val="005E0439"/>
    <w:rsid w:val="005E26D4"/>
    <w:rsid w:val="005E42E6"/>
    <w:rsid w:val="005E73BB"/>
    <w:rsid w:val="005E7CBE"/>
    <w:rsid w:val="005F20B5"/>
    <w:rsid w:val="005F3FA3"/>
    <w:rsid w:val="005F4B80"/>
    <w:rsid w:val="005F4C36"/>
    <w:rsid w:val="005F4CCB"/>
    <w:rsid w:val="005F5C89"/>
    <w:rsid w:val="005F64D6"/>
    <w:rsid w:val="005F7532"/>
    <w:rsid w:val="005F7F4B"/>
    <w:rsid w:val="00602A63"/>
    <w:rsid w:val="006063CF"/>
    <w:rsid w:val="0061038A"/>
    <w:rsid w:val="006111D0"/>
    <w:rsid w:val="00611335"/>
    <w:rsid w:val="006141AB"/>
    <w:rsid w:val="0061522D"/>
    <w:rsid w:val="006175CF"/>
    <w:rsid w:val="00617B56"/>
    <w:rsid w:val="00617C9B"/>
    <w:rsid w:val="00620BE2"/>
    <w:rsid w:val="00620C33"/>
    <w:rsid w:val="00626920"/>
    <w:rsid w:val="00630B7D"/>
    <w:rsid w:val="006317FB"/>
    <w:rsid w:val="00632B4C"/>
    <w:rsid w:val="006334A3"/>
    <w:rsid w:val="00633693"/>
    <w:rsid w:val="006350A9"/>
    <w:rsid w:val="0063563F"/>
    <w:rsid w:val="00635A19"/>
    <w:rsid w:val="0063690D"/>
    <w:rsid w:val="00640E5C"/>
    <w:rsid w:val="00643525"/>
    <w:rsid w:val="00645EDF"/>
    <w:rsid w:val="00651499"/>
    <w:rsid w:val="00651862"/>
    <w:rsid w:val="00651CF3"/>
    <w:rsid w:val="00653D7A"/>
    <w:rsid w:val="0065789C"/>
    <w:rsid w:val="00662EBD"/>
    <w:rsid w:val="0066440A"/>
    <w:rsid w:val="006661BE"/>
    <w:rsid w:val="00666545"/>
    <w:rsid w:val="006702EE"/>
    <w:rsid w:val="00671006"/>
    <w:rsid w:val="00671361"/>
    <w:rsid w:val="00671746"/>
    <w:rsid w:val="00676F9B"/>
    <w:rsid w:val="00677C97"/>
    <w:rsid w:val="00681931"/>
    <w:rsid w:val="00681D93"/>
    <w:rsid w:val="00682091"/>
    <w:rsid w:val="006830AD"/>
    <w:rsid w:val="00684847"/>
    <w:rsid w:val="006860CB"/>
    <w:rsid w:val="00691DD4"/>
    <w:rsid w:val="00692FD7"/>
    <w:rsid w:val="006933BB"/>
    <w:rsid w:val="006935DA"/>
    <w:rsid w:val="006942D1"/>
    <w:rsid w:val="0069544E"/>
    <w:rsid w:val="00696591"/>
    <w:rsid w:val="00696A22"/>
    <w:rsid w:val="006A09D3"/>
    <w:rsid w:val="006A1C4C"/>
    <w:rsid w:val="006A2038"/>
    <w:rsid w:val="006A2384"/>
    <w:rsid w:val="006B1B9C"/>
    <w:rsid w:val="006B2696"/>
    <w:rsid w:val="006B28C5"/>
    <w:rsid w:val="006B2D48"/>
    <w:rsid w:val="006B45E4"/>
    <w:rsid w:val="006B71DE"/>
    <w:rsid w:val="006C03FE"/>
    <w:rsid w:val="006C07E6"/>
    <w:rsid w:val="006C0BF2"/>
    <w:rsid w:val="006C11A2"/>
    <w:rsid w:val="006C154D"/>
    <w:rsid w:val="006C349E"/>
    <w:rsid w:val="006C41D0"/>
    <w:rsid w:val="006C5F4A"/>
    <w:rsid w:val="006C6029"/>
    <w:rsid w:val="006C6061"/>
    <w:rsid w:val="006D2583"/>
    <w:rsid w:val="006D27D6"/>
    <w:rsid w:val="006D4111"/>
    <w:rsid w:val="006D604D"/>
    <w:rsid w:val="006D6807"/>
    <w:rsid w:val="006D7F1C"/>
    <w:rsid w:val="006E3FEB"/>
    <w:rsid w:val="006E487A"/>
    <w:rsid w:val="006E4DB0"/>
    <w:rsid w:val="006E61E1"/>
    <w:rsid w:val="006F0559"/>
    <w:rsid w:val="006F0A0E"/>
    <w:rsid w:val="006F1F9A"/>
    <w:rsid w:val="006F2610"/>
    <w:rsid w:val="006F2AF8"/>
    <w:rsid w:val="006F44A4"/>
    <w:rsid w:val="006F477A"/>
    <w:rsid w:val="006F506A"/>
    <w:rsid w:val="007038DE"/>
    <w:rsid w:val="00704A7E"/>
    <w:rsid w:val="007174E2"/>
    <w:rsid w:val="00720B40"/>
    <w:rsid w:val="00722C42"/>
    <w:rsid w:val="0072329A"/>
    <w:rsid w:val="0072363A"/>
    <w:rsid w:val="00726203"/>
    <w:rsid w:val="007325B6"/>
    <w:rsid w:val="0073271D"/>
    <w:rsid w:val="00732E27"/>
    <w:rsid w:val="0073373C"/>
    <w:rsid w:val="00740209"/>
    <w:rsid w:val="00741543"/>
    <w:rsid w:val="0074352B"/>
    <w:rsid w:val="0074386A"/>
    <w:rsid w:val="00744656"/>
    <w:rsid w:val="00745B28"/>
    <w:rsid w:val="00745BB5"/>
    <w:rsid w:val="00747176"/>
    <w:rsid w:val="007526AD"/>
    <w:rsid w:val="007536DE"/>
    <w:rsid w:val="00755491"/>
    <w:rsid w:val="0076174F"/>
    <w:rsid w:val="00761EFE"/>
    <w:rsid w:val="00761F17"/>
    <w:rsid w:val="0076335F"/>
    <w:rsid w:val="00764B4A"/>
    <w:rsid w:val="00765B76"/>
    <w:rsid w:val="007677BA"/>
    <w:rsid w:val="00767A6A"/>
    <w:rsid w:val="007747B1"/>
    <w:rsid w:val="007761C9"/>
    <w:rsid w:val="00777571"/>
    <w:rsid w:val="0078205D"/>
    <w:rsid w:val="007824E5"/>
    <w:rsid w:val="007836E0"/>
    <w:rsid w:val="007849FB"/>
    <w:rsid w:val="0078584B"/>
    <w:rsid w:val="00785EE3"/>
    <w:rsid w:val="007901E5"/>
    <w:rsid w:val="007904E4"/>
    <w:rsid w:val="00791C8E"/>
    <w:rsid w:val="0079372B"/>
    <w:rsid w:val="007944F7"/>
    <w:rsid w:val="00794D5D"/>
    <w:rsid w:val="0079593B"/>
    <w:rsid w:val="007A11B9"/>
    <w:rsid w:val="007A1CCD"/>
    <w:rsid w:val="007A4124"/>
    <w:rsid w:val="007B193D"/>
    <w:rsid w:val="007C0F2A"/>
    <w:rsid w:val="007C0F86"/>
    <w:rsid w:val="007C129A"/>
    <w:rsid w:val="007C2B1D"/>
    <w:rsid w:val="007C3158"/>
    <w:rsid w:val="007C41BD"/>
    <w:rsid w:val="007C4EB9"/>
    <w:rsid w:val="007C7B9F"/>
    <w:rsid w:val="007C7C8E"/>
    <w:rsid w:val="007D0A6B"/>
    <w:rsid w:val="007D32B6"/>
    <w:rsid w:val="007D6619"/>
    <w:rsid w:val="007D6F25"/>
    <w:rsid w:val="007D7D0F"/>
    <w:rsid w:val="007E36CB"/>
    <w:rsid w:val="007E43D7"/>
    <w:rsid w:val="007E4403"/>
    <w:rsid w:val="007E4750"/>
    <w:rsid w:val="007E49E6"/>
    <w:rsid w:val="007E6742"/>
    <w:rsid w:val="007F009D"/>
    <w:rsid w:val="007F21FA"/>
    <w:rsid w:val="007F39CA"/>
    <w:rsid w:val="007F65C0"/>
    <w:rsid w:val="008005AC"/>
    <w:rsid w:val="0080317B"/>
    <w:rsid w:val="008035D1"/>
    <w:rsid w:val="00805D4C"/>
    <w:rsid w:val="0080612D"/>
    <w:rsid w:val="00806246"/>
    <w:rsid w:val="008076EA"/>
    <w:rsid w:val="008120E5"/>
    <w:rsid w:val="0081386A"/>
    <w:rsid w:val="00815108"/>
    <w:rsid w:val="00816E61"/>
    <w:rsid w:val="00820A93"/>
    <w:rsid w:val="0082272D"/>
    <w:rsid w:val="00822A68"/>
    <w:rsid w:val="00823016"/>
    <w:rsid w:val="008236B4"/>
    <w:rsid w:val="00824A48"/>
    <w:rsid w:val="00825152"/>
    <w:rsid w:val="00825BD0"/>
    <w:rsid w:val="00830ACE"/>
    <w:rsid w:val="008313C1"/>
    <w:rsid w:val="00840A23"/>
    <w:rsid w:val="00840C28"/>
    <w:rsid w:val="00841489"/>
    <w:rsid w:val="00841FB7"/>
    <w:rsid w:val="00843398"/>
    <w:rsid w:val="00844800"/>
    <w:rsid w:val="008449C7"/>
    <w:rsid w:val="00846A64"/>
    <w:rsid w:val="00847040"/>
    <w:rsid w:val="00847685"/>
    <w:rsid w:val="00850DF5"/>
    <w:rsid w:val="0085314D"/>
    <w:rsid w:val="00853D9C"/>
    <w:rsid w:val="008542A9"/>
    <w:rsid w:val="008547A1"/>
    <w:rsid w:val="00855810"/>
    <w:rsid w:val="00862622"/>
    <w:rsid w:val="0086280C"/>
    <w:rsid w:val="00864FE6"/>
    <w:rsid w:val="00866BEE"/>
    <w:rsid w:val="0086705F"/>
    <w:rsid w:val="008740DC"/>
    <w:rsid w:val="0087485D"/>
    <w:rsid w:val="008819D6"/>
    <w:rsid w:val="00882E4D"/>
    <w:rsid w:val="0088337F"/>
    <w:rsid w:val="00884028"/>
    <w:rsid w:val="008855D1"/>
    <w:rsid w:val="00885BC3"/>
    <w:rsid w:val="00886F57"/>
    <w:rsid w:val="00891CAC"/>
    <w:rsid w:val="0089301A"/>
    <w:rsid w:val="0089519E"/>
    <w:rsid w:val="00895DB9"/>
    <w:rsid w:val="008962F8"/>
    <w:rsid w:val="0089682A"/>
    <w:rsid w:val="00896DE0"/>
    <w:rsid w:val="008A108C"/>
    <w:rsid w:val="008A1320"/>
    <w:rsid w:val="008A58D3"/>
    <w:rsid w:val="008A6209"/>
    <w:rsid w:val="008A7BCD"/>
    <w:rsid w:val="008B4196"/>
    <w:rsid w:val="008B427A"/>
    <w:rsid w:val="008B6923"/>
    <w:rsid w:val="008B7940"/>
    <w:rsid w:val="008C096B"/>
    <w:rsid w:val="008C2003"/>
    <w:rsid w:val="008C2D61"/>
    <w:rsid w:val="008C6201"/>
    <w:rsid w:val="008C71FA"/>
    <w:rsid w:val="008C74E1"/>
    <w:rsid w:val="008D0CC9"/>
    <w:rsid w:val="008D1182"/>
    <w:rsid w:val="008D2354"/>
    <w:rsid w:val="008D262B"/>
    <w:rsid w:val="008D5DE5"/>
    <w:rsid w:val="008D7071"/>
    <w:rsid w:val="008D7AFC"/>
    <w:rsid w:val="008E094D"/>
    <w:rsid w:val="008E1022"/>
    <w:rsid w:val="008E1CD0"/>
    <w:rsid w:val="008E1D42"/>
    <w:rsid w:val="008E29A7"/>
    <w:rsid w:val="008E334D"/>
    <w:rsid w:val="008E559F"/>
    <w:rsid w:val="008E7771"/>
    <w:rsid w:val="008F4E13"/>
    <w:rsid w:val="008F5306"/>
    <w:rsid w:val="00900026"/>
    <w:rsid w:val="009017F9"/>
    <w:rsid w:val="009022D1"/>
    <w:rsid w:val="00903600"/>
    <w:rsid w:val="009076F5"/>
    <w:rsid w:val="0090770B"/>
    <w:rsid w:val="0091038C"/>
    <w:rsid w:val="009114AE"/>
    <w:rsid w:val="00911603"/>
    <w:rsid w:val="00915B98"/>
    <w:rsid w:val="00916ED0"/>
    <w:rsid w:val="00917171"/>
    <w:rsid w:val="00920335"/>
    <w:rsid w:val="0092100D"/>
    <w:rsid w:val="009246E4"/>
    <w:rsid w:val="0092631C"/>
    <w:rsid w:val="00927B00"/>
    <w:rsid w:val="00930CCD"/>
    <w:rsid w:val="00931690"/>
    <w:rsid w:val="00932F8A"/>
    <w:rsid w:val="00933153"/>
    <w:rsid w:val="00934B3B"/>
    <w:rsid w:val="009355BA"/>
    <w:rsid w:val="0094303B"/>
    <w:rsid w:val="00943F4F"/>
    <w:rsid w:val="00954539"/>
    <w:rsid w:val="00955ED9"/>
    <w:rsid w:val="0096008C"/>
    <w:rsid w:val="00962758"/>
    <w:rsid w:val="009648B3"/>
    <w:rsid w:val="009658B4"/>
    <w:rsid w:val="00971CDA"/>
    <w:rsid w:val="00972671"/>
    <w:rsid w:val="0097778A"/>
    <w:rsid w:val="0097783B"/>
    <w:rsid w:val="00977A69"/>
    <w:rsid w:val="0098013F"/>
    <w:rsid w:val="0098083E"/>
    <w:rsid w:val="00980C69"/>
    <w:rsid w:val="00981E55"/>
    <w:rsid w:val="00984790"/>
    <w:rsid w:val="00984A2E"/>
    <w:rsid w:val="00987AE2"/>
    <w:rsid w:val="00990304"/>
    <w:rsid w:val="009909AE"/>
    <w:rsid w:val="00992667"/>
    <w:rsid w:val="00995EBF"/>
    <w:rsid w:val="0099655A"/>
    <w:rsid w:val="009967B5"/>
    <w:rsid w:val="00997FD4"/>
    <w:rsid w:val="009A6D7C"/>
    <w:rsid w:val="009B1AA3"/>
    <w:rsid w:val="009B5776"/>
    <w:rsid w:val="009C0040"/>
    <w:rsid w:val="009C1287"/>
    <w:rsid w:val="009C13A9"/>
    <w:rsid w:val="009C154D"/>
    <w:rsid w:val="009C5FA8"/>
    <w:rsid w:val="009D3AE2"/>
    <w:rsid w:val="009D502C"/>
    <w:rsid w:val="009D5A3B"/>
    <w:rsid w:val="009E0258"/>
    <w:rsid w:val="009E0F3A"/>
    <w:rsid w:val="009E11B1"/>
    <w:rsid w:val="009E1808"/>
    <w:rsid w:val="009E1FC4"/>
    <w:rsid w:val="009E2231"/>
    <w:rsid w:val="009E6510"/>
    <w:rsid w:val="009F0C29"/>
    <w:rsid w:val="009F1DAF"/>
    <w:rsid w:val="009F448F"/>
    <w:rsid w:val="009F5AAD"/>
    <w:rsid w:val="00A01400"/>
    <w:rsid w:val="00A01541"/>
    <w:rsid w:val="00A0401F"/>
    <w:rsid w:val="00A06CB9"/>
    <w:rsid w:val="00A079CB"/>
    <w:rsid w:val="00A100FB"/>
    <w:rsid w:val="00A1039F"/>
    <w:rsid w:val="00A134FB"/>
    <w:rsid w:val="00A170B6"/>
    <w:rsid w:val="00A17AB9"/>
    <w:rsid w:val="00A2242C"/>
    <w:rsid w:val="00A270D2"/>
    <w:rsid w:val="00A35A56"/>
    <w:rsid w:val="00A35E6D"/>
    <w:rsid w:val="00A42C4D"/>
    <w:rsid w:val="00A45198"/>
    <w:rsid w:val="00A474B3"/>
    <w:rsid w:val="00A47DB5"/>
    <w:rsid w:val="00A51131"/>
    <w:rsid w:val="00A52B9C"/>
    <w:rsid w:val="00A53766"/>
    <w:rsid w:val="00A53DDE"/>
    <w:rsid w:val="00A5638F"/>
    <w:rsid w:val="00A5719C"/>
    <w:rsid w:val="00A6188F"/>
    <w:rsid w:val="00A6561A"/>
    <w:rsid w:val="00A71EB2"/>
    <w:rsid w:val="00A73818"/>
    <w:rsid w:val="00A92C45"/>
    <w:rsid w:val="00A933A6"/>
    <w:rsid w:val="00A94871"/>
    <w:rsid w:val="00A94BED"/>
    <w:rsid w:val="00A95EB3"/>
    <w:rsid w:val="00A9677A"/>
    <w:rsid w:val="00A97371"/>
    <w:rsid w:val="00A97D36"/>
    <w:rsid w:val="00A97E94"/>
    <w:rsid w:val="00AA056E"/>
    <w:rsid w:val="00AA14D7"/>
    <w:rsid w:val="00AA2295"/>
    <w:rsid w:val="00AA5594"/>
    <w:rsid w:val="00AA5E81"/>
    <w:rsid w:val="00AB1D35"/>
    <w:rsid w:val="00AB2D21"/>
    <w:rsid w:val="00AB3B84"/>
    <w:rsid w:val="00AB5BA4"/>
    <w:rsid w:val="00AC0177"/>
    <w:rsid w:val="00AC2902"/>
    <w:rsid w:val="00AC3C54"/>
    <w:rsid w:val="00AC447D"/>
    <w:rsid w:val="00AC5C70"/>
    <w:rsid w:val="00AC7581"/>
    <w:rsid w:val="00AD1344"/>
    <w:rsid w:val="00AD13AE"/>
    <w:rsid w:val="00AD3784"/>
    <w:rsid w:val="00AE1061"/>
    <w:rsid w:val="00AE51F2"/>
    <w:rsid w:val="00AE6B27"/>
    <w:rsid w:val="00AF0EB1"/>
    <w:rsid w:val="00AF4B9A"/>
    <w:rsid w:val="00AF56E6"/>
    <w:rsid w:val="00AF5F1C"/>
    <w:rsid w:val="00B02563"/>
    <w:rsid w:val="00B0268C"/>
    <w:rsid w:val="00B10385"/>
    <w:rsid w:val="00B12159"/>
    <w:rsid w:val="00B12EC8"/>
    <w:rsid w:val="00B13EB8"/>
    <w:rsid w:val="00B13F94"/>
    <w:rsid w:val="00B15243"/>
    <w:rsid w:val="00B15E90"/>
    <w:rsid w:val="00B20F48"/>
    <w:rsid w:val="00B21916"/>
    <w:rsid w:val="00B229DE"/>
    <w:rsid w:val="00B2366D"/>
    <w:rsid w:val="00B25C6E"/>
    <w:rsid w:val="00B26AEA"/>
    <w:rsid w:val="00B27FA5"/>
    <w:rsid w:val="00B31CFD"/>
    <w:rsid w:val="00B32070"/>
    <w:rsid w:val="00B32CC0"/>
    <w:rsid w:val="00B33C76"/>
    <w:rsid w:val="00B33FAB"/>
    <w:rsid w:val="00B4008A"/>
    <w:rsid w:val="00B4088E"/>
    <w:rsid w:val="00B41D45"/>
    <w:rsid w:val="00B41EF5"/>
    <w:rsid w:val="00B42A7A"/>
    <w:rsid w:val="00B42FB2"/>
    <w:rsid w:val="00B43A06"/>
    <w:rsid w:val="00B45256"/>
    <w:rsid w:val="00B462B7"/>
    <w:rsid w:val="00B50BD1"/>
    <w:rsid w:val="00B50EDE"/>
    <w:rsid w:val="00B52580"/>
    <w:rsid w:val="00B55204"/>
    <w:rsid w:val="00B62D3A"/>
    <w:rsid w:val="00B638F9"/>
    <w:rsid w:val="00B67C49"/>
    <w:rsid w:val="00B70312"/>
    <w:rsid w:val="00B71B77"/>
    <w:rsid w:val="00B73B25"/>
    <w:rsid w:val="00B75A5A"/>
    <w:rsid w:val="00B763E9"/>
    <w:rsid w:val="00B7646D"/>
    <w:rsid w:val="00B839D0"/>
    <w:rsid w:val="00B902E4"/>
    <w:rsid w:val="00B90B8B"/>
    <w:rsid w:val="00B913DC"/>
    <w:rsid w:val="00B91630"/>
    <w:rsid w:val="00B91778"/>
    <w:rsid w:val="00B931E1"/>
    <w:rsid w:val="00B93467"/>
    <w:rsid w:val="00B93DAE"/>
    <w:rsid w:val="00B93DC4"/>
    <w:rsid w:val="00B954E2"/>
    <w:rsid w:val="00B95C78"/>
    <w:rsid w:val="00BA046A"/>
    <w:rsid w:val="00BA09D4"/>
    <w:rsid w:val="00BA0BB4"/>
    <w:rsid w:val="00BA118F"/>
    <w:rsid w:val="00BA12A4"/>
    <w:rsid w:val="00BA36BC"/>
    <w:rsid w:val="00BA551D"/>
    <w:rsid w:val="00BA552B"/>
    <w:rsid w:val="00BA66E6"/>
    <w:rsid w:val="00BC13A9"/>
    <w:rsid w:val="00BC17FD"/>
    <w:rsid w:val="00BC1A93"/>
    <w:rsid w:val="00BC1E41"/>
    <w:rsid w:val="00BC21D8"/>
    <w:rsid w:val="00BC40F4"/>
    <w:rsid w:val="00BC6828"/>
    <w:rsid w:val="00BC7815"/>
    <w:rsid w:val="00BD1A53"/>
    <w:rsid w:val="00BD7EEA"/>
    <w:rsid w:val="00BE3437"/>
    <w:rsid w:val="00BE5279"/>
    <w:rsid w:val="00BE5300"/>
    <w:rsid w:val="00BE58D4"/>
    <w:rsid w:val="00BF0C84"/>
    <w:rsid w:val="00BF3AD1"/>
    <w:rsid w:val="00BF3D91"/>
    <w:rsid w:val="00BF5699"/>
    <w:rsid w:val="00BF7600"/>
    <w:rsid w:val="00BF76ED"/>
    <w:rsid w:val="00C003C0"/>
    <w:rsid w:val="00C0388B"/>
    <w:rsid w:val="00C05826"/>
    <w:rsid w:val="00C06537"/>
    <w:rsid w:val="00C078C5"/>
    <w:rsid w:val="00C12163"/>
    <w:rsid w:val="00C13D30"/>
    <w:rsid w:val="00C15A2E"/>
    <w:rsid w:val="00C168C3"/>
    <w:rsid w:val="00C179B9"/>
    <w:rsid w:val="00C17B60"/>
    <w:rsid w:val="00C22A83"/>
    <w:rsid w:val="00C2477B"/>
    <w:rsid w:val="00C256A2"/>
    <w:rsid w:val="00C2576E"/>
    <w:rsid w:val="00C26065"/>
    <w:rsid w:val="00C31444"/>
    <w:rsid w:val="00C31F51"/>
    <w:rsid w:val="00C3337B"/>
    <w:rsid w:val="00C33B45"/>
    <w:rsid w:val="00C36409"/>
    <w:rsid w:val="00C366CE"/>
    <w:rsid w:val="00C417FA"/>
    <w:rsid w:val="00C41A10"/>
    <w:rsid w:val="00C432A0"/>
    <w:rsid w:val="00C44E19"/>
    <w:rsid w:val="00C45058"/>
    <w:rsid w:val="00C455EE"/>
    <w:rsid w:val="00C45A1B"/>
    <w:rsid w:val="00C47A47"/>
    <w:rsid w:val="00C523ED"/>
    <w:rsid w:val="00C5243D"/>
    <w:rsid w:val="00C528FB"/>
    <w:rsid w:val="00C52FA8"/>
    <w:rsid w:val="00C55F8E"/>
    <w:rsid w:val="00C57708"/>
    <w:rsid w:val="00C6106B"/>
    <w:rsid w:val="00C61C5A"/>
    <w:rsid w:val="00C62F22"/>
    <w:rsid w:val="00C632DE"/>
    <w:rsid w:val="00C633D9"/>
    <w:rsid w:val="00C657B8"/>
    <w:rsid w:val="00C65D01"/>
    <w:rsid w:val="00C66B90"/>
    <w:rsid w:val="00C679E9"/>
    <w:rsid w:val="00C71CF9"/>
    <w:rsid w:val="00C756C9"/>
    <w:rsid w:val="00C80E89"/>
    <w:rsid w:val="00C84783"/>
    <w:rsid w:val="00C84797"/>
    <w:rsid w:val="00C9097D"/>
    <w:rsid w:val="00C90A1C"/>
    <w:rsid w:val="00C93277"/>
    <w:rsid w:val="00C953B5"/>
    <w:rsid w:val="00C979AD"/>
    <w:rsid w:val="00CA05C4"/>
    <w:rsid w:val="00CA082C"/>
    <w:rsid w:val="00CA24AC"/>
    <w:rsid w:val="00CA2638"/>
    <w:rsid w:val="00CA3775"/>
    <w:rsid w:val="00CA5634"/>
    <w:rsid w:val="00CA7B16"/>
    <w:rsid w:val="00CB1B77"/>
    <w:rsid w:val="00CB37BF"/>
    <w:rsid w:val="00CB3DA4"/>
    <w:rsid w:val="00CB7A37"/>
    <w:rsid w:val="00CB7EE4"/>
    <w:rsid w:val="00CC1B25"/>
    <w:rsid w:val="00CC1CDF"/>
    <w:rsid w:val="00CC46FD"/>
    <w:rsid w:val="00CD07CC"/>
    <w:rsid w:val="00CD235E"/>
    <w:rsid w:val="00CD3A4E"/>
    <w:rsid w:val="00CD3F53"/>
    <w:rsid w:val="00CD5A6D"/>
    <w:rsid w:val="00CD6AD3"/>
    <w:rsid w:val="00CD6FC5"/>
    <w:rsid w:val="00CD7710"/>
    <w:rsid w:val="00CD7D16"/>
    <w:rsid w:val="00CE26C6"/>
    <w:rsid w:val="00CE2FC9"/>
    <w:rsid w:val="00CE5C0E"/>
    <w:rsid w:val="00CF36C5"/>
    <w:rsid w:val="00CF4396"/>
    <w:rsid w:val="00CF453B"/>
    <w:rsid w:val="00CF7CD9"/>
    <w:rsid w:val="00D02063"/>
    <w:rsid w:val="00D04E44"/>
    <w:rsid w:val="00D06E21"/>
    <w:rsid w:val="00D075C5"/>
    <w:rsid w:val="00D0776C"/>
    <w:rsid w:val="00D11D91"/>
    <w:rsid w:val="00D165BF"/>
    <w:rsid w:val="00D21380"/>
    <w:rsid w:val="00D24F42"/>
    <w:rsid w:val="00D27F54"/>
    <w:rsid w:val="00D3054F"/>
    <w:rsid w:val="00D34881"/>
    <w:rsid w:val="00D349B3"/>
    <w:rsid w:val="00D3766B"/>
    <w:rsid w:val="00D40236"/>
    <w:rsid w:val="00D42E82"/>
    <w:rsid w:val="00D444CF"/>
    <w:rsid w:val="00D46A8C"/>
    <w:rsid w:val="00D5738F"/>
    <w:rsid w:val="00D67078"/>
    <w:rsid w:val="00D67DF1"/>
    <w:rsid w:val="00D70A41"/>
    <w:rsid w:val="00D70E25"/>
    <w:rsid w:val="00D726C3"/>
    <w:rsid w:val="00D72884"/>
    <w:rsid w:val="00D741A9"/>
    <w:rsid w:val="00D80842"/>
    <w:rsid w:val="00D80ABF"/>
    <w:rsid w:val="00D8214A"/>
    <w:rsid w:val="00D82FBE"/>
    <w:rsid w:val="00D83266"/>
    <w:rsid w:val="00D83471"/>
    <w:rsid w:val="00D87BCE"/>
    <w:rsid w:val="00D90DAF"/>
    <w:rsid w:val="00D91AAA"/>
    <w:rsid w:val="00D91C13"/>
    <w:rsid w:val="00D93142"/>
    <w:rsid w:val="00D9340D"/>
    <w:rsid w:val="00D935F3"/>
    <w:rsid w:val="00D94539"/>
    <w:rsid w:val="00D946D9"/>
    <w:rsid w:val="00D96436"/>
    <w:rsid w:val="00DA2E50"/>
    <w:rsid w:val="00DA3568"/>
    <w:rsid w:val="00DA5014"/>
    <w:rsid w:val="00DA5CC0"/>
    <w:rsid w:val="00DA746A"/>
    <w:rsid w:val="00DA7619"/>
    <w:rsid w:val="00DB799C"/>
    <w:rsid w:val="00DC07F2"/>
    <w:rsid w:val="00DC13A1"/>
    <w:rsid w:val="00DC3E50"/>
    <w:rsid w:val="00DC429C"/>
    <w:rsid w:val="00DC4910"/>
    <w:rsid w:val="00DD0E17"/>
    <w:rsid w:val="00DD32B0"/>
    <w:rsid w:val="00DD3B1C"/>
    <w:rsid w:val="00DD4DF5"/>
    <w:rsid w:val="00DD4F00"/>
    <w:rsid w:val="00DD6FDF"/>
    <w:rsid w:val="00DE068D"/>
    <w:rsid w:val="00DE3945"/>
    <w:rsid w:val="00DE3A7D"/>
    <w:rsid w:val="00DE46EA"/>
    <w:rsid w:val="00DE628D"/>
    <w:rsid w:val="00DF0359"/>
    <w:rsid w:val="00DF07EB"/>
    <w:rsid w:val="00DF0DDA"/>
    <w:rsid w:val="00DF14F7"/>
    <w:rsid w:val="00DF6943"/>
    <w:rsid w:val="00DF77D8"/>
    <w:rsid w:val="00E03B58"/>
    <w:rsid w:val="00E04766"/>
    <w:rsid w:val="00E11287"/>
    <w:rsid w:val="00E11886"/>
    <w:rsid w:val="00E142D6"/>
    <w:rsid w:val="00E160A7"/>
    <w:rsid w:val="00E17CA0"/>
    <w:rsid w:val="00E20196"/>
    <w:rsid w:val="00E20CCB"/>
    <w:rsid w:val="00E22303"/>
    <w:rsid w:val="00E23CE0"/>
    <w:rsid w:val="00E24687"/>
    <w:rsid w:val="00E37578"/>
    <w:rsid w:val="00E43ED0"/>
    <w:rsid w:val="00E44C22"/>
    <w:rsid w:val="00E45736"/>
    <w:rsid w:val="00E4573A"/>
    <w:rsid w:val="00E46675"/>
    <w:rsid w:val="00E46E9A"/>
    <w:rsid w:val="00E543B5"/>
    <w:rsid w:val="00E54799"/>
    <w:rsid w:val="00E60245"/>
    <w:rsid w:val="00E602E8"/>
    <w:rsid w:val="00E6647B"/>
    <w:rsid w:val="00E677C2"/>
    <w:rsid w:val="00E6787E"/>
    <w:rsid w:val="00E71D95"/>
    <w:rsid w:val="00E72F59"/>
    <w:rsid w:val="00E73E6F"/>
    <w:rsid w:val="00E753A4"/>
    <w:rsid w:val="00E75F93"/>
    <w:rsid w:val="00E77976"/>
    <w:rsid w:val="00E80357"/>
    <w:rsid w:val="00E804AB"/>
    <w:rsid w:val="00E82A3D"/>
    <w:rsid w:val="00E8560E"/>
    <w:rsid w:val="00E9242D"/>
    <w:rsid w:val="00E92FAC"/>
    <w:rsid w:val="00E933C0"/>
    <w:rsid w:val="00E9384B"/>
    <w:rsid w:val="00E94ABD"/>
    <w:rsid w:val="00EA085E"/>
    <w:rsid w:val="00EA56CE"/>
    <w:rsid w:val="00EA5C3C"/>
    <w:rsid w:val="00EA6694"/>
    <w:rsid w:val="00EB0798"/>
    <w:rsid w:val="00EB3DEB"/>
    <w:rsid w:val="00EB44C0"/>
    <w:rsid w:val="00EB75C1"/>
    <w:rsid w:val="00EC1940"/>
    <w:rsid w:val="00EC34D3"/>
    <w:rsid w:val="00EC3849"/>
    <w:rsid w:val="00EC54E9"/>
    <w:rsid w:val="00EC724E"/>
    <w:rsid w:val="00EC7AA7"/>
    <w:rsid w:val="00EC7B68"/>
    <w:rsid w:val="00ED0E27"/>
    <w:rsid w:val="00ED16AA"/>
    <w:rsid w:val="00ED1820"/>
    <w:rsid w:val="00ED303D"/>
    <w:rsid w:val="00ED3F76"/>
    <w:rsid w:val="00EE06C0"/>
    <w:rsid w:val="00EE2DDD"/>
    <w:rsid w:val="00EE3692"/>
    <w:rsid w:val="00EE39E4"/>
    <w:rsid w:val="00EE3F8B"/>
    <w:rsid w:val="00EE62D3"/>
    <w:rsid w:val="00EE7850"/>
    <w:rsid w:val="00EF3585"/>
    <w:rsid w:val="00EF44A2"/>
    <w:rsid w:val="00F0108D"/>
    <w:rsid w:val="00F02DF7"/>
    <w:rsid w:val="00F061E1"/>
    <w:rsid w:val="00F12059"/>
    <w:rsid w:val="00F12916"/>
    <w:rsid w:val="00F13743"/>
    <w:rsid w:val="00F226A7"/>
    <w:rsid w:val="00F232A5"/>
    <w:rsid w:val="00F23F08"/>
    <w:rsid w:val="00F2518B"/>
    <w:rsid w:val="00F25F21"/>
    <w:rsid w:val="00F271B4"/>
    <w:rsid w:val="00F34F41"/>
    <w:rsid w:val="00F40139"/>
    <w:rsid w:val="00F40C79"/>
    <w:rsid w:val="00F40EC0"/>
    <w:rsid w:val="00F42717"/>
    <w:rsid w:val="00F438E4"/>
    <w:rsid w:val="00F44A62"/>
    <w:rsid w:val="00F454EC"/>
    <w:rsid w:val="00F466B0"/>
    <w:rsid w:val="00F471F2"/>
    <w:rsid w:val="00F504FE"/>
    <w:rsid w:val="00F50BB1"/>
    <w:rsid w:val="00F50E64"/>
    <w:rsid w:val="00F51295"/>
    <w:rsid w:val="00F5222E"/>
    <w:rsid w:val="00F52A98"/>
    <w:rsid w:val="00F52BDB"/>
    <w:rsid w:val="00F533BF"/>
    <w:rsid w:val="00F547E8"/>
    <w:rsid w:val="00F55054"/>
    <w:rsid w:val="00F55602"/>
    <w:rsid w:val="00F605C0"/>
    <w:rsid w:val="00F61472"/>
    <w:rsid w:val="00F618CB"/>
    <w:rsid w:val="00F61A11"/>
    <w:rsid w:val="00F61E8A"/>
    <w:rsid w:val="00F61EB7"/>
    <w:rsid w:val="00F62DBA"/>
    <w:rsid w:val="00F62FD1"/>
    <w:rsid w:val="00F666DF"/>
    <w:rsid w:val="00F71D6F"/>
    <w:rsid w:val="00F73E34"/>
    <w:rsid w:val="00F8062D"/>
    <w:rsid w:val="00F83DC4"/>
    <w:rsid w:val="00F83F7E"/>
    <w:rsid w:val="00F8401F"/>
    <w:rsid w:val="00F845FB"/>
    <w:rsid w:val="00F84968"/>
    <w:rsid w:val="00F91F86"/>
    <w:rsid w:val="00F92356"/>
    <w:rsid w:val="00F92838"/>
    <w:rsid w:val="00F95537"/>
    <w:rsid w:val="00FA02F1"/>
    <w:rsid w:val="00FA1FF4"/>
    <w:rsid w:val="00FA272B"/>
    <w:rsid w:val="00FA3FAF"/>
    <w:rsid w:val="00FA4544"/>
    <w:rsid w:val="00FA613E"/>
    <w:rsid w:val="00FB01B4"/>
    <w:rsid w:val="00FB216A"/>
    <w:rsid w:val="00FB3955"/>
    <w:rsid w:val="00FB5D2E"/>
    <w:rsid w:val="00FB5FEB"/>
    <w:rsid w:val="00FC0A5D"/>
    <w:rsid w:val="00FC0DAF"/>
    <w:rsid w:val="00FC0DCC"/>
    <w:rsid w:val="00FC1027"/>
    <w:rsid w:val="00FC2948"/>
    <w:rsid w:val="00FC2C94"/>
    <w:rsid w:val="00FC3768"/>
    <w:rsid w:val="00FC3DA2"/>
    <w:rsid w:val="00FC57DE"/>
    <w:rsid w:val="00FC6C74"/>
    <w:rsid w:val="00FD0D9D"/>
    <w:rsid w:val="00FD30DA"/>
    <w:rsid w:val="00FD3DA0"/>
    <w:rsid w:val="00FD40DC"/>
    <w:rsid w:val="00FD4156"/>
    <w:rsid w:val="00FD6EA9"/>
    <w:rsid w:val="00FD75EC"/>
    <w:rsid w:val="00FE269C"/>
    <w:rsid w:val="00FE2AA1"/>
    <w:rsid w:val="00FE2F51"/>
    <w:rsid w:val="00FE5A74"/>
    <w:rsid w:val="00FF33C9"/>
    <w:rsid w:val="00FF4291"/>
    <w:rsid w:val="00FF432C"/>
    <w:rsid w:val="00FF49B4"/>
    <w:rsid w:val="00FF5F07"/>
    <w:rsid w:val="00FF6F04"/>
    <w:rsid w:val="00FF7DE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4F293EE"/>
  <w15:docId w15:val="{AD310DCA-F2CE-4640-9CC5-710462B9E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overflowPunct w:val="0"/>
      <w:autoSpaceDE w:val="0"/>
      <w:autoSpaceDN w:val="0"/>
      <w:adjustRightInd w:val="0"/>
      <w:spacing w:after="120"/>
      <w:textAlignment w:val="baseline"/>
    </w:pPr>
    <w:rPr>
      <w:rFonts w:ascii="Arial" w:hAnsi="Arial"/>
    </w:rPr>
  </w:style>
  <w:style w:type="paragraph" w:styleId="Heading1">
    <w:name w:val="heading 1"/>
    <w:basedOn w:val="Normal"/>
    <w:next w:val="Normal"/>
    <w:qFormat/>
    <w:rsid w:val="00A51131"/>
    <w:pPr>
      <w:keepNext/>
      <w:keepLines/>
      <w:pageBreakBefore/>
      <w:numPr>
        <w:numId w:val="1"/>
      </w:numPr>
      <w:pBdr>
        <w:top w:val="single" w:sz="18" w:space="1" w:color="auto"/>
      </w:pBdr>
      <w:spacing w:before="142" w:after="113"/>
      <w:outlineLvl w:val="0"/>
    </w:pPr>
    <w:rPr>
      <w:b/>
      <w:kern w:val="28"/>
      <w:sz w:val="36"/>
    </w:rPr>
  </w:style>
  <w:style w:type="paragraph" w:styleId="Heading2">
    <w:name w:val="heading 2"/>
    <w:basedOn w:val="Normal"/>
    <w:next w:val="Normal"/>
    <w:qFormat/>
    <w:rsid w:val="00980C69"/>
    <w:pPr>
      <w:keepNext/>
      <w:pBdr>
        <w:top w:val="single" w:sz="6" w:space="1" w:color="auto"/>
      </w:pBdr>
      <w:spacing w:before="425" w:after="113"/>
      <w:ind w:left="652" w:hanging="652"/>
      <w:outlineLvl w:val="1"/>
    </w:pPr>
    <w:rPr>
      <w:b/>
      <w:sz w:val="28"/>
    </w:rPr>
  </w:style>
  <w:style w:type="paragraph" w:styleId="Heading3">
    <w:name w:val="heading 3"/>
    <w:basedOn w:val="Normal"/>
    <w:next w:val="Normal"/>
    <w:qFormat/>
    <w:pPr>
      <w:keepNext/>
      <w:numPr>
        <w:ilvl w:val="2"/>
        <w:numId w:val="3"/>
      </w:numPr>
      <w:spacing w:before="425" w:after="113"/>
      <w:ind w:left="794" w:hanging="794"/>
      <w:outlineLvl w:val="2"/>
    </w:pPr>
    <w:rPr>
      <w:b/>
      <w:i/>
      <w:sz w:val="28"/>
    </w:rPr>
  </w:style>
  <w:style w:type="paragraph" w:styleId="Heading4">
    <w:name w:val="heading 4"/>
    <w:basedOn w:val="Normal"/>
    <w:next w:val="Normal"/>
    <w:qFormat/>
    <w:pPr>
      <w:keepNext/>
      <w:numPr>
        <w:ilvl w:val="3"/>
        <w:numId w:val="4"/>
      </w:numPr>
      <w:spacing w:before="240" w:after="60"/>
      <w:outlineLvl w:val="3"/>
    </w:pPr>
    <w:rPr>
      <w:b/>
      <w:iCs/>
      <w:sz w:val="24"/>
    </w:rPr>
  </w:style>
  <w:style w:type="paragraph" w:styleId="Heading5">
    <w:name w:val="heading 5"/>
    <w:basedOn w:val="Normal"/>
    <w:next w:val="Normal"/>
    <w:qFormat/>
    <w:pPr>
      <w:numPr>
        <w:ilvl w:val="4"/>
        <w:numId w:val="5"/>
      </w:numPr>
      <w:spacing w:before="240" w:after="60"/>
      <w:outlineLvl w:val="4"/>
    </w:pPr>
    <w:rPr>
      <w:sz w:val="22"/>
      <w:lang w:val="da-DK"/>
    </w:rPr>
  </w:style>
  <w:style w:type="paragraph" w:styleId="Heading6">
    <w:name w:val="heading 6"/>
    <w:basedOn w:val="Normal"/>
    <w:next w:val="Normal"/>
    <w:qFormat/>
    <w:pPr>
      <w:numPr>
        <w:ilvl w:val="5"/>
        <w:numId w:val="6"/>
      </w:numPr>
      <w:spacing w:before="240" w:after="60"/>
      <w:outlineLvl w:val="5"/>
    </w:pPr>
    <w:rPr>
      <w:i/>
      <w:sz w:val="22"/>
      <w:lang w:val="da-DK"/>
    </w:rPr>
  </w:style>
  <w:style w:type="paragraph" w:styleId="Heading7">
    <w:name w:val="heading 7"/>
    <w:basedOn w:val="Normal"/>
    <w:next w:val="Normal"/>
    <w:qFormat/>
    <w:pPr>
      <w:numPr>
        <w:ilvl w:val="6"/>
        <w:numId w:val="7"/>
      </w:numPr>
      <w:spacing w:before="240" w:after="60"/>
      <w:outlineLvl w:val="6"/>
    </w:pPr>
  </w:style>
  <w:style w:type="paragraph" w:styleId="Heading8">
    <w:name w:val="heading 8"/>
    <w:basedOn w:val="Normal"/>
    <w:next w:val="Normal"/>
    <w:qFormat/>
    <w:pPr>
      <w:numPr>
        <w:ilvl w:val="7"/>
        <w:numId w:val="8"/>
      </w:numPr>
      <w:spacing w:before="240" w:after="60"/>
      <w:outlineLvl w:val="7"/>
    </w:pPr>
    <w:rPr>
      <w:i/>
    </w:rPr>
  </w:style>
  <w:style w:type="paragraph" w:styleId="Heading9">
    <w:name w:val="heading 9"/>
    <w:basedOn w:val="Normal"/>
    <w:next w:val="Normal"/>
    <w:qFormat/>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6" w:space="3" w:color="auto"/>
      </w:pBdr>
      <w:tabs>
        <w:tab w:val="center" w:pos="4678"/>
      </w:tabs>
    </w:pPr>
  </w:style>
  <w:style w:type="paragraph" w:styleId="Footer">
    <w:name w:val="footer"/>
    <w:basedOn w:val="Normal"/>
    <w:pPr>
      <w:pBdr>
        <w:top w:val="single" w:sz="6" w:space="1" w:color="auto"/>
      </w:pBdr>
      <w:tabs>
        <w:tab w:val="left" w:pos="1276"/>
        <w:tab w:val="right" w:pos="9356"/>
      </w:tabs>
      <w:spacing w:after="0"/>
    </w:pPr>
    <w:rPr>
      <w:sz w:val="16"/>
    </w:rPr>
  </w:style>
  <w:style w:type="character" w:styleId="PageNumber">
    <w:name w:val="page number"/>
    <w:basedOn w:val="DefaultParagraphFont"/>
  </w:style>
  <w:style w:type="paragraph" w:styleId="TOC1">
    <w:name w:val="toc 1"/>
    <w:basedOn w:val="Normal"/>
    <w:next w:val="Normal"/>
    <w:uiPriority w:val="39"/>
    <w:pPr>
      <w:tabs>
        <w:tab w:val="right" w:leader="dot" w:pos="9355"/>
      </w:tabs>
    </w:pPr>
    <w:rPr>
      <w:sz w:val="24"/>
    </w:rPr>
  </w:style>
  <w:style w:type="paragraph" w:styleId="BodyText">
    <w:name w:val="Body Text"/>
    <w:basedOn w:val="Normal"/>
    <w:pPr>
      <w:spacing w:after="215"/>
    </w:pPr>
  </w:style>
  <w:style w:type="paragraph" w:styleId="BodyTextIndent">
    <w:name w:val="Body Text Indent"/>
    <w:basedOn w:val="Normal"/>
    <w:next w:val="BodyText"/>
    <w:pPr>
      <w:ind w:left="283"/>
    </w:pPr>
    <w:rPr>
      <w:i/>
      <w:color w:val="0000FF"/>
    </w:rPr>
  </w:style>
  <w:style w:type="paragraph" w:customStyle="1" w:styleId="TableText">
    <w:name w:val="Table Text"/>
    <w:basedOn w:val="BodyText"/>
    <w:rsid w:val="006C07E6"/>
    <w:pPr>
      <w:spacing w:before="40" w:after="40"/>
      <w:ind w:left="28" w:right="28"/>
    </w:pPr>
  </w:style>
  <w:style w:type="paragraph" w:styleId="Title">
    <w:name w:val="Title"/>
    <w:basedOn w:val="Normal"/>
    <w:qFormat/>
    <w:pPr>
      <w:spacing w:before="240" w:after="60"/>
      <w:jc w:val="right"/>
    </w:pPr>
    <w:rPr>
      <w:b/>
      <w:kern w:val="28"/>
      <w:sz w:val="28"/>
    </w:rPr>
  </w:style>
  <w:style w:type="paragraph" w:styleId="Subtitle">
    <w:name w:val="Subtitle"/>
    <w:basedOn w:val="Normal"/>
    <w:qFormat/>
    <w:pPr>
      <w:spacing w:after="60"/>
      <w:jc w:val="right"/>
    </w:pPr>
    <w:rPr>
      <w:i/>
      <w:sz w:val="24"/>
    </w:rPr>
  </w:style>
  <w:style w:type="paragraph" w:styleId="TOC2">
    <w:name w:val="toc 2"/>
    <w:basedOn w:val="Normal"/>
    <w:next w:val="Normal"/>
    <w:uiPriority w:val="39"/>
    <w:pPr>
      <w:tabs>
        <w:tab w:val="right" w:leader="dot" w:pos="9355"/>
      </w:tabs>
      <w:ind w:left="200"/>
    </w:pPr>
  </w:style>
  <w:style w:type="paragraph" w:styleId="TOC3">
    <w:name w:val="toc 3"/>
    <w:basedOn w:val="Normal"/>
    <w:next w:val="Normal"/>
    <w:uiPriority w:val="39"/>
    <w:pPr>
      <w:tabs>
        <w:tab w:val="right" w:leader="dot" w:pos="9355"/>
      </w:tabs>
      <w:ind w:left="400"/>
    </w:pPr>
  </w:style>
  <w:style w:type="paragraph" w:styleId="TOC4">
    <w:name w:val="toc 4"/>
    <w:basedOn w:val="Normal"/>
    <w:next w:val="Normal"/>
    <w:semiHidden/>
    <w:pPr>
      <w:tabs>
        <w:tab w:val="right" w:leader="dot" w:pos="9355"/>
      </w:tabs>
      <w:ind w:left="600"/>
    </w:pPr>
  </w:style>
  <w:style w:type="paragraph" w:styleId="TOC5">
    <w:name w:val="toc 5"/>
    <w:basedOn w:val="Normal"/>
    <w:next w:val="Normal"/>
    <w:semiHidden/>
    <w:pPr>
      <w:tabs>
        <w:tab w:val="right" w:leader="dot" w:pos="9355"/>
      </w:tabs>
      <w:ind w:left="800"/>
    </w:pPr>
  </w:style>
  <w:style w:type="paragraph" w:styleId="TOC6">
    <w:name w:val="toc 6"/>
    <w:basedOn w:val="Normal"/>
    <w:next w:val="Normal"/>
    <w:semiHidden/>
    <w:pPr>
      <w:tabs>
        <w:tab w:val="right" w:leader="dot" w:pos="9355"/>
      </w:tabs>
      <w:ind w:left="1000"/>
    </w:pPr>
  </w:style>
  <w:style w:type="paragraph" w:styleId="TOC7">
    <w:name w:val="toc 7"/>
    <w:basedOn w:val="Normal"/>
    <w:next w:val="Normal"/>
    <w:semiHidden/>
    <w:pPr>
      <w:tabs>
        <w:tab w:val="right" w:leader="dot" w:pos="9355"/>
      </w:tabs>
      <w:ind w:left="1200"/>
    </w:pPr>
  </w:style>
  <w:style w:type="paragraph" w:styleId="TOC8">
    <w:name w:val="toc 8"/>
    <w:basedOn w:val="Normal"/>
    <w:next w:val="Normal"/>
    <w:semiHidden/>
    <w:pPr>
      <w:tabs>
        <w:tab w:val="right" w:leader="dot" w:pos="9355"/>
      </w:tabs>
      <w:ind w:left="1400"/>
    </w:pPr>
  </w:style>
  <w:style w:type="paragraph" w:styleId="TOC9">
    <w:name w:val="toc 9"/>
    <w:basedOn w:val="Normal"/>
    <w:next w:val="Normal"/>
    <w:semiHidden/>
    <w:pPr>
      <w:tabs>
        <w:tab w:val="right" w:leader="dot" w:pos="9355"/>
      </w:tabs>
      <w:ind w:left="1600"/>
    </w:pPr>
  </w:style>
  <w:style w:type="paragraph" w:customStyle="1" w:styleId="Outish">
    <w:name w:val="Outish"/>
    <w:basedOn w:val="List"/>
    <w:rsid w:val="00EF44A2"/>
    <w:pPr>
      <w:overflowPunct/>
      <w:autoSpaceDE/>
      <w:autoSpaceDN/>
      <w:adjustRightInd/>
      <w:spacing w:before="120" w:after="0"/>
      <w:ind w:left="0" w:firstLine="0"/>
      <w:textAlignment w:val="auto"/>
    </w:pPr>
    <w:rPr>
      <w:rFonts w:ascii="Times New Roman" w:hAnsi="Times New Roman"/>
    </w:rPr>
  </w:style>
  <w:style w:type="paragraph" w:customStyle="1" w:styleId="SubFooter">
    <w:name w:val="SubFooter"/>
    <w:basedOn w:val="Footer"/>
    <w:pPr>
      <w:pBdr>
        <w:top w:val="none" w:sz="0" w:space="0" w:color="auto"/>
      </w:pBdr>
    </w:pPr>
    <w:rPr>
      <w:sz w:val="12"/>
    </w:rPr>
  </w:style>
  <w:style w:type="paragraph" w:customStyle="1" w:styleId="HeadingA">
    <w:name w:val="Heading A"/>
    <w:basedOn w:val="Heading1"/>
    <w:rsid w:val="006860CB"/>
    <w:pPr>
      <w:ind w:left="648" w:hanging="648"/>
      <w:outlineLvl w:val="9"/>
    </w:pPr>
  </w:style>
  <w:style w:type="paragraph" w:customStyle="1" w:styleId="HeadingB">
    <w:name w:val="Heading B"/>
    <w:basedOn w:val="Heading2"/>
    <w:pPr>
      <w:outlineLvl w:val="9"/>
    </w:pPr>
  </w:style>
  <w:style w:type="paragraph" w:customStyle="1" w:styleId="HeadingC">
    <w:name w:val="Heading C"/>
    <w:basedOn w:val="Heading3"/>
    <w:pPr>
      <w:outlineLvl w:val="9"/>
    </w:pPr>
  </w:style>
  <w:style w:type="paragraph" w:customStyle="1" w:styleId="Editorscomments">
    <w:name w:val="Editor's comments"/>
    <w:basedOn w:val="Normal"/>
    <w:rPr>
      <w:b/>
      <w:bCs/>
      <w:color w:val="FF0000"/>
    </w:rPr>
  </w:style>
  <w:style w:type="paragraph" w:customStyle="1" w:styleId="Readerscomments">
    <w:name w:val="Reader's comments"/>
    <w:basedOn w:val="Normal"/>
    <w:rPr>
      <w:i/>
      <w:iCs/>
      <w:color w:val="CC00CC"/>
    </w:rPr>
  </w:style>
  <w:style w:type="paragraph" w:styleId="EndnoteText">
    <w:name w:val="endnote text"/>
    <w:basedOn w:val="Normal"/>
    <w:semiHidden/>
    <w:rsid w:val="00EF44A2"/>
    <w:pPr>
      <w:overflowPunct/>
      <w:autoSpaceDE/>
      <w:autoSpaceDN/>
      <w:adjustRightInd/>
      <w:spacing w:before="120"/>
      <w:textAlignment w:val="auto"/>
    </w:pPr>
    <w:rPr>
      <w:rFonts w:ascii="Times New Roman" w:hAnsi="Times New Roman"/>
    </w:rPr>
  </w:style>
  <w:style w:type="character" w:styleId="EndnoteReference">
    <w:name w:val="endnote reference"/>
    <w:basedOn w:val="DefaultParagraphFont"/>
    <w:semiHidden/>
    <w:rsid w:val="00EF44A2"/>
    <w:rPr>
      <w:vertAlign w:val="superscript"/>
    </w:rPr>
  </w:style>
  <w:style w:type="paragraph" w:styleId="List">
    <w:name w:val="List"/>
    <w:basedOn w:val="Normal"/>
    <w:rsid w:val="00EF44A2"/>
    <w:pPr>
      <w:ind w:left="360" w:hanging="360"/>
    </w:pPr>
  </w:style>
  <w:style w:type="paragraph" w:styleId="BodyText2">
    <w:name w:val="Body Text 2"/>
    <w:basedOn w:val="Normal"/>
    <w:rsid w:val="0099655A"/>
    <w:pPr>
      <w:spacing w:line="480" w:lineRule="auto"/>
    </w:pPr>
  </w:style>
  <w:style w:type="paragraph" w:styleId="BodyText3">
    <w:name w:val="Body Text 3"/>
    <w:basedOn w:val="Normal"/>
    <w:rsid w:val="0099655A"/>
    <w:rPr>
      <w:sz w:val="16"/>
      <w:szCs w:val="16"/>
    </w:rPr>
  </w:style>
  <w:style w:type="paragraph" w:styleId="FootnoteText">
    <w:name w:val="footnote text"/>
    <w:basedOn w:val="Normal"/>
    <w:semiHidden/>
    <w:rsid w:val="0099655A"/>
    <w:pPr>
      <w:overflowPunct/>
      <w:autoSpaceDE/>
      <w:autoSpaceDN/>
      <w:adjustRightInd/>
      <w:spacing w:before="120"/>
      <w:textAlignment w:val="auto"/>
    </w:pPr>
    <w:rPr>
      <w:rFonts w:ascii="Times New Roman" w:hAnsi="Times New Roman"/>
    </w:rPr>
  </w:style>
  <w:style w:type="character" w:styleId="FootnoteReference">
    <w:name w:val="footnote reference"/>
    <w:basedOn w:val="DefaultParagraphFont"/>
    <w:semiHidden/>
    <w:rsid w:val="0099655A"/>
    <w:rPr>
      <w:vertAlign w:val="superscript"/>
    </w:rPr>
  </w:style>
  <w:style w:type="table" w:styleId="TableGrid">
    <w:name w:val="Table Grid"/>
    <w:basedOn w:val="TableNormal"/>
    <w:rsid w:val="000F134A"/>
    <w:pPr>
      <w:overflowPunct w:val="0"/>
      <w:autoSpaceDE w:val="0"/>
      <w:autoSpaceDN w:val="0"/>
      <w:adjustRightInd w:val="0"/>
      <w:spacing w:after="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F061E1"/>
    <w:rPr>
      <w:rFonts w:ascii="Tahoma" w:hAnsi="Tahoma" w:cs="Tahoma"/>
      <w:sz w:val="16"/>
      <w:szCs w:val="16"/>
    </w:rPr>
  </w:style>
  <w:style w:type="character" w:styleId="CommentReference">
    <w:name w:val="annotation reference"/>
    <w:basedOn w:val="DefaultParagraphFont"/>
    <w:semiHidden/>
    <w:rsid w:val="00165E60"/>
    <w:rPr>
      <w:sz w:val="16"/>
      <w:szCs w:val="16"/>
    </w:rPr>
  </w:style>
  <w:style w:type="paragraph" w:styleId="CommentText">
    <w:name w:val="annotation text"/>
    <w:basedOn w:val="Normal"/>
    <w:link w:val="CommentTextChar"/>
    <w:semiHidden/>
    <w:rsid w:val="00165E60"/>
  </w:style>
  <w:style w:type="paragraph" w:styleId="CommentSubject">
    <w:name w:val="annotation subject"/>
    <w:basedOn w:val="CommentText"/>
    <w:next w:val="CommentText"/>
    <w:semiHidden/>
    <w:rsid w:val="00165E60"/>
    <w:rPr>
      <w:b/>
      <w:bCs/>
    </w:rPr>
  </w:style>
  <w:style w:type="paragraph" w:styleId="DocumentMap">
    <w:name w:val="Document Map"/>
    <w:basedOn w:val="Normal"/>
    <w:semiHidden/>
    <w:rsid w:val="006C07E6"/>
    <w:pPr>
      <w:shd w:val="clear" w:color="auto" w:fill="000080"/>
    </w:pPr>
    <w:rPr>
      <w:rFonts w:ascii="Tahoma" w:hAnsi="Tahoma" w:cs="Tahoma"/>
    </w:rPr>
  </w:style>
  <w:style w:type="character" w:styleId="Hyperlink">
    <w:name w:val="Hyperlink"/>
    <w:basedOn w:val="DefaultParagraphFont"/>
    <w:rsid w:val="00BC17FD"/>
    <w:rPr>
      <w:color w:val="0000FF"/>
      <w:u w:val="single"/>
    </w:rPr>
  </w:style>
  <w:style w:type="paragraph" w:styleId="NormalWeb">
    <w:name w:val="Normal (Web)"/>
    <w:basedOn w:val="Normal"/>
    <w:rsid w:val="00BC17FD"/>
    <w:pPr>
      <w:overflowPunct/>
      <w:autoSpaceDE/>
      <w:autoSpaceDN/>
      <w:adjustRightInd/>
      <w:spacing w:before="100" w:beforeAutospacing="1" w:after="100" w:afterAutospacing="1"/>
      <w:textAlignment w:val="auto"/>
    </w:pPr>
    <w:rPr>
      <w:rFonts w:ascii="Times New Roman" w:eastAsia="PMingLiU" w:hAnsi="Times New Roman"/>
      <w:sz w:val="24"/>
      <w:szCs w:val="24"/>
      <w:lang w:eastAsia="zh-CN"/>
    </w:rPr>
  </w:style>
  <w:style w:type="paragraph" w:styleId="ListParagraph">
    <w:name w:val="List Paragraph"/>
    <w:basedOn w:val="Normal"/>
    <w:uiPriority w:val="34"/>
    <w:qFormat/>
    <w:rsid w:val="00704A7E"/>
    <w:pPr>
      <w:overflowPunct/>
      <w:autoSpaceDE/>
      <w:autoSpaceDN/>
      <w:adjustRightInd/>
      <w:spacing w:after="0"/>
      <w:ind w:left="720"/>
      <w:contextualSpacing/>
      <w:textAlignment w:val="auto"/>
    </w:pPr>
    <w:rPr>
      <w:rFonts w:ascii="Calibri" w:eastAsia="Calibri" w:hAnsi="Calibri"/>
      <w:sz w:val="24"/>
      <w:szCs w:val="22"/>
    </w:rPr>
  </w:style>
  <w:style w:type="character" w:customStyle="1" w:styleId="CommentTextChar">
    <w:name w:val="Comment Text Char"/>
    <w:basedOn w:val="DefaultParagraphFont"/>
    <w:link w:val="CommentText"/>
    <w:semiHidden/>
    <w:rsid w:val="0069544E"/>
    <w:rPr>
      <w:rFonts w:ascii="Arial" w:hAnsi="Arial"/>
    </w:rPr>
  </w:style>
  <w:style w:type="paragraph" w:styleId="Caption">
    <w:name w:val="caption"/>
    <w:basedOn w:val="Normal"/>
    <w:next w:val="Normal"/>
    <w:unhideWhenUsed/>
    <w:qFormat/>
    <w:rsid w:val="00AA14D7"/>
    <w:pPr>
      <w:spacing w:after="200"/>
    </w:pPr>
    <w:rPr>
      <w:i/>
      <w:iCs/>
      <w:color w:val="44546A" w:themeColor="text2"/>
      <w:sz w:val="18"/>
      <w:szCs w:val="18"/>
    </w:rPr>
  </w:style>
  <w:style w:type="character" w:customStyle="1" w:styleId="apple-converted-space">
    <w:name w:val="apple-converted-space"/>
    <w:basedOn w:val="DefaultParagraphFont"/>
    <w:rsid w:val="00D726C3"/>
  </w:style>
  <w:style w:type="character" w:styleId="Emphasis">
    <w:name w:val="Emphasis"/>
    <w:basedOn w:val="DefaultParagraphFont"/>
    <w:uiPriority w:val="20"/>
    <w:qFormat/>
    <w:rsid w:val="00D726C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5630642">
      <w:bodyDiv w:val="1"/>
      <w:marLeft w:val="0"/>
      <w:marRight w:val="0"/>
      <w:marTop w:val="0"/>
      <w:marBottom w:val="0"/>
      <w:divBdr>
        <w:top w:val="none" w:sz="0" w:space="0" w:color="auto"/>
        <w:left w:val="none" w:sz="0" w:space="0" w:color="auto"/>
        <w:bottom w:val="none" w:sz="0" w:space="0" w:color="auto"/>
        <w:right w:val="none" w:sz="0" w:space="0" w:color="auto"/>
      </w:divBdr>
    </w:div>
    <w:div w:id="1338116386">
      <w:bodyDiv w:val="1"/>
      <w:marLeft w:val="0"/>
      <w:marRight w:val="0"/>
      <w:marTop w:val="0"/>
      <w:marBottom w:val="0"/>
      <w:divBdr>
        <w:top w:val="none" w:sz="0" w:space="0" w:color="auto"/>
        <w:left w:val="none" w:sz="0" w:space="0" w:color="auto"/>
        <w:bottom w:val="none" w:sz="0" w:space="0" w:color="auto"/>
        <w:right w:val="none" w:sz="0" w:space="0" w:color="auto"/>
      </w:divBdr>
      <w:divsChild>
        <w:div w:id="2026514423">
          <w:marLeft w:val="0"/>
          <w:marRight w:val="0"/>
          <w:marTop w:val="0"/>
          <w:marBottom w:val="0"/>
          <w:divBdr>
            <w:top w:val="none" w:sz="0" w:space="0" w:color="auto"/>
            <w:left w:val="none" w:sz="0" w:space="0" w:color="auto"/>
            <w:bottom w:val="none" w:sz="0" w:space="0" w:color="auto"/>
            <w:right w:val="none" w:sz="0" w:space="0" w:color="auto"/>
          </w:divBdr>
          <w:divsChild>
            <w:div w:id="1916014086">
              <w:marLeft w:val="0"/>
              <w:marRight w:val="0"/>
              <w:marTop w:val="0"/>
              <w:marBottom w:val="0"/>
              <w:divBdr>
                <w:top w:val="none" w:sz="0" w:space="0" w:color="auto"/>
                <w:left w:val="none" w:sz="0" w:space="0" w:color="auto"/>
                <w:bottom w:val="none" w:sz="0" w:space="0" w:color="auto"/>
                <w:right w:val="none" w:sz="0" w:space="0" w:color="auto"/>
              </w:divBdr>
              <w:divsChild>
                <w:div w:id="604271233">
                  <w:marLeft w:val="0"/>
                  <w:marRight w:val="0"/>
                  <w:marTop w:val="0"/>
                  <w:marBottom w:val="0"/>
                  <w:divBdr>
                    <w:top w:val="none" w:sz="0" w:space="0" w:color="auto"/>
                    <w:left w:val="none" w:sz="0" w:space="0" w:color="auto"/>
                    <w:bottom w:val="none" w:sz="0" w:space="0" w:color="auto"/>
                    <w:right w:val="none" w:sz="0" w:space="0" w:color="auto"/>
                  </w:divBdr>
                  <w:divsChild>
                    <w:div w:id="642347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0785273">
      <w:bodyDiv w:val="1"/>
      <w:marLeft w:val="0"/>
      <w:marRight w:val="0"/>
      <w:marTop w:val="0"/>
      <w:marBottom w:val="0"/>
      <w:divBdr>
        <w:top w:val="none" w:sz="0" w:space="0" w:color="auto"/>
        <w:left w:val="none" w:sz="0" w:space="0" w:color="auto"/>
        <w:bottom w:val="none" w:sz="0" w:space="0" w:color="auto"/>
        <w:right w:val="none" w:sz="0" w:space="0" w:color="auto"/>
      </w:divBdr>
    </w:div>
    <w:div w:id="1943954133">
      <w:bodyDiv w:val="1"/>
      <w:marLeft w:val="0"/>
      <w:marRight w:val="0"/>
      <w:marTop w:val="0"/>
      <w:marBottom w:val="0"/>
      <w:divBdr>
        <w:top w:val="none" w:sz="0" w:space="0" w:color="auto"/>
        <w:left w:val="none" w:sz="0" w:space="0" w:color="auto"/>
        <w:bottom w:val="none" w:sz="0" w:space="0" w:color="auto"/>
        <w:right w:val="none" w:sz="0" w:space="0" w:color="auto"/>
      </w:divBdr>
      <w:divsChild>
        <w:div w:id="1038894561">
          <w:marLeft w:val="2985"/>
          <w:marRight w:val="0"/>
          <w:marTop w:val="0"/>
          <w:marBottom w:val="0"/>
          <w:divBdr>
            <w:top w:val="none" w:sz="0" w:space="0" w:color="auto"/>
            <w:left w:val="none" w:sz="0" w:space="0" w:color="auto"/>
            <w:bottom w:val="none" w:sz="0" w:space="0" w:color="auto"/>
            <w:right w:val="none" w:sz="0" w:space="0" w:color="auto"/>
          </w:divBdr>
          <w:divsChild>
            <w:div w:id="998191469">
              <w:marLeft w:val="0"/>
              <w:marRight w:val="0"/>
              <w:marTop w:val="0"/>
              <w:marBottom w:val="0"/>
              <w:divBdr>
                <w:top w:val="none" w:sz="0" w:space="0" w:color="auto"/>
                <w:left w:val="none" w:sz="0" w:space="0" w:color="auto"/>
                <w:bottom w:val="none" w:sz="0" w:space="0" w:color="auto"/>
                <w:right w:val="none" w:sz="0" w:space="0" w:color="auto"/>
              </w:divBdr>
              <w:divsChild>
                <w:div w:id="2046635920">
                  <w:marLeft w:val="-810"/>
                  <w:marRight w:val="-810"/>
                  <w:marTop w:val="0"/>
                  <w:marBottom w:val="0"/>
                  <w:divBdr>
                    <w:top w:val="none" w:sz="0" w:space="0" w:color="auto"/>
                    <w:left w:val="none" w:sz="0" w:space="0" w:color="auto"/>
                    <w:bottom w:val="none" w:sz="0" w:space="0" w:color="auto"/>
                    <w:right w:val="none" w:sz="0" w:space="0" w:color="auto"/>
                  </w:divBdr>
                </w:div>
              </w:divsChild>
            </w:div>
          </w:divsChild>
        </w:div>
      </w:divsChild>
    </w:div>
    <w:div w:id="1946887277">
      <w:bodyDiv w:val="1"/>
      <w:marLeft w:val="0"/>
      <w:marRight w:val="0"/>
      <w:marTop w:val="0"/>
      <w:marBottom w:val="0"/>
      <w:divBdr>
        <w:top w:val="none" w:sz="0" w:space="0" w:color="auto"/>
        <w:left w:val="none" w:sz="0" w:space="0" w:color="auto"/>
        <w:bottom w:val="none" w:sz="0" w:space="0" w:color="auto"/>
        <w:right w:val="none" w:sz="0" w:space="0" w:color="auto"/>
      </w:divBdr>
      <w:divsChild>
        <w:div w:id="1403915254">
          <w:marLeft w:val="0"/>
          <w:marRight w:val="0"/>
          <w:marTop w:val="0"/>
          <w:marBottom w:val="0"/>
          <w:divBdr>
            <w:top w:val="none" w:sz="0" w:space="0" w:color="auto"/>
            <w:left w:val="none" w:sz="0" w:space="0" w:color="auto"/>
            <w:bottom w:val="none" w:sz="0" w:space="0" w:color="auto"/>
            <w:right w:val="none" w:sz="0" w:space="0" w:color="auto"/>
          </w:divBdr>
          <w:divsChild>
            <w:div w:id="1640723636">
              <w:marLeft w:val="0"/>
              <w:marRight w:val="0"/>
              <w:marTop w:val="0"/>
              <w:marBottom w:val="0"/>
              <w:divBdr>
                <w:top w:val="none" w:sz="0" w:space="0" w:color="auto"/>
                <w:left w:val="none" w:sz="0" w:space="0" w:color="auto"/>
                <w:bottom w:val="none" w:sz="0" w:space="0" w:color="auto"/>
                <w:right w:val="none" w:sz="0" w:space="0" w:color="auto"/>
              </w:divBdr>
              <w:divsChild>
                <w:div w:id="1005326953">
                  <w:marLeft w:val="0"/>
                  <w:marRight w:val="0"/>
                  <w:marTop w:val="0"/>
                  <w:marBottom w:val="0"/>
                  <w:divBdr>
                    <w:top w:val="none" w:sz="0" w:space="0" w:color="auto"/>
                    <w:left w:val="none" w:sz="0" w:space="0" w:color="auto"/>
                    <w:bottom w:val="none" w:sz="0" w:space="0" w:color="auto"/>
                    <w:right w:val="none" w:sz="0" w:space="0" w:color="auto"/>
                  </w:divBdr>
                  <w:divsChild>
                    <w:div w:id="881016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2D9FE6-8774-4D33-AFBD-9B5BEB85E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1811</Words>
  <Characters>10328</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D4 - Distribution operator locates outage using AMI data and restores service</vt:lpstr>
    </vt:vector>
  </TitlesOfParts>
  <Manager>Paul DeMartini</Manager>
  <Company>Southern California Edison</Company>
  <LinksUpToDate>false</LinksUpToDate>
  <CharactersWithSpaces>12115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D4 - Distribution operator locates outage using AMI data and restores service</dc:title>
  <dc:subject>Advanced Metering Infrastructure (AMI) Program</dc:subject>
  <dc:creator>Robert Yinger</dc:creator>
  <cp:keywords/>
  <dc:description>V3.0.0.</dc:description>
  <cp:lastModifiedBy>George Bellino</cp:lastModifiedBy>
  <cp:revision>2</cp:revision>
  <cp:lastPrinted>2008-11-23T19:55:00Z</cp:lastPrinted>
  <dcterms:created xsi:type="dcterms:W3CDTF">2017-06-02T19:16:00Z</dcterms:created>
  <dcterms:modified xsi:type="dcterms:W3CDTF">2017-06-02T19:16:00Z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qProMenus">
    <vt:bool>false</vt:bool>
  </property>
</Properties>
</file>